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76D" w14:textId="13CB062D" w:rsidR="00173F77" w:rsidRPr="00115A96" w:rsidRDefault="004E69DB">
      <w:pPr>
        <w:rPr>
          <w:rFonts w:cstheme="minorHAnsi"/>
          <w:b/>
          <w:bCs/>
        </w:rPr>
      </w:pPr>
      <w:r w:rsidRPr="00115A96">
        <w:rPr>
          <w:rFonts w:cstheme="minorHAnsi"/>
          <w:b/>
          <w:bCs/>
        </w:rPr>
        <w:t xml:space="preserve">Impact of </w:t>
      </w:r>
      <w:r w:rsidR="00A97099" w:rsidRPr="00115A96">
        <w:rPr>
          <w:rFonts w:cstheme="minorHAnsi"/>
          <w:b/>
          <w:bCs/>
        </w:rPr>
        <w:t xml:space="preserve">AI Guided </w:t>
      </w:r>
      <w:r w:rsidRPr="00115A96">
        <w:rPr>
          <w:rFonts w:cstheme="minorHAnsi"/>
          <w:b/>
          <w:bCs/>
        </w:rPr>
        <w:t>Mental Health Clinic among Minorities</w:t>
      </w:r>
    </w:p>
    <w:p w14:paraId="20142133" w14:textId="0EBA34E9" w:rsidR="00456B10" w:rsidRPr="00115A96" w:rsidRDefault="004E69DB" w:rsidP="00264F2A">
      <w:pPr>
        <w:spacing w:after="0" w:line="240" w:lineRule="auto"/>
        <w:ind w:firstLine="432"/>
        <w:rPr>
          <w:rFonts w:cstheme="minorHAnsi"/>
        </w:rPr>
      </w:pPr>
      <w:r w:rsidRPr="00115A96">
        <w:rPr>
          <w:rFonts w:cstheme="minorHAnsi"/>
        </w:rPr>
        <w:t xml:space="preserve">This project evaluates impact of computerized </w:t>
      </w:r>
      <w:r w:rsidR="00151561">
        <w:rPr>
          <w:rFonts w:cstheme="minorHAnsi"/>
        </w:rPr>
        <w:t xml:space="preserve">AI </w:t>
      </w:r>
      <w:r w:rsidRPr="00115A96">
        <w:rPr>
          <w:rFonts w:cstheme="minorHAnsi"/>
        </w:rPr>
        <w:t>intervention on treatment of African Americans with Major Depression.</w:t>
      </w:r>
      <w:r w:rsidR="00115A96">
        <w:rPr>
          <w:rFonts w:cstheme="minorHAnsi"/>
        </w:rPr>
        <w:t xml:space="preserve"> </w:t>
      </w:r>
      <w:r w:rsidRPr="00115A96">
        <w:rPr>
          <w:rFonts w:cstheme="minorHAnsi"/>
        </w:rPr>
        <w:t>There has been a sudden growth of computer-assisted mental health interventions in treatment of major depression.</w:t>
      </w:r>
      <w:r w:rsidR="00115A96">
        <w:rPr>
          <w:rFonts w:cstheme="minorHAnsi"/>
        </w:rPr>
        <w:t xml:space="preserve"> </w:t>
      </w:r>
      <w:r w:rsidR="009065D6" w:rsidRPr="00115A96">
        <w:rPr>
          <w:rFonts w:cstheme="minorHAnsi"/>
        </w:rPr>
        <w:t>This has been in part fueled by growth in depression</w:t>
      </w:r>
      <w:r w:rsidR="00983648" w:rsidRPr="00115A96">
        <w:rPr>
          <w:rFonts w:cstheme="minorHAnsi"/>
        </w:rPr>
        <w:t>; t</w:t>
      </w:r>
      <w:r w:rsidR="005679D3" w:rsidRPr="00115A96">
        <w:rPr>
          <w:rFonts w:cstheme="minorHAnsi"/>
        </w:rPr>
        <w:t>he percentage of US adults with depression increased from 8.7% in 2017 to 14.4% in 2020 [</w:t>
      </w:r>
      <w:bookmarkStart w:id="0" w:name="_Hlk124358324"/>
      <w:r w:rsidR="005679D3" w:rsidRPr="00115A96">
        <w:rPr>
          <w:rStyle w:val="EndnoteReference"/>
          <w:rFonts w:cstheme="minorHAnsi"/>
        </w:rPr>
        <w:endnoteReference w:id="1"/>
      </w:r>
      <w:r w:rsidR="005679D3" w:rsidRPr="00115A96">
        <w:rPr>
          <w:rFonts w:cstheme="minorHAnsi"/>
        </w:rPr>
        <w:t>]</w:t>
      </w:r>
      <w:bookmarkEnd w:id="0"/>
      <w:r w:rsidR="005679D3" w:rsidRPr="00115A96">
        <w:rPr>
          <w:rFonts w:cstheme="minorHAnsi"/>
        </w:rPr>
        <w:t xml:space="preserve">. </w:t>
      </w:r>
      <w:r w:rsidR="00983648" w:rsidRPr="00115A96">
        <w:rPr>
          <w:rFonts w:cstheme="minorHAnsi"/>
        </w:rPr>
        <w:t>It has also been fueled by shortage of m</w:t>
      </w:r>
      <w:r w:rsidR="005679D3" w:rsidRPr="00115A96">
        <w:rPr>
          <w:rFonts w:cstheme="minorHAnsi"/>
        </w:rPr>
        <w:t xml:space="preserve">ental </w:t>
      </w:r>
      <w:r w:rsidR="00983648" w:rsidRPr="00115A96">
        <w:rPr>
          <w:rFonts w:cstheme="minorHAnsi"/>
        </w:rPr>
        <w:t>h</w:t>
      </w:r>
      <w:r w:rsidR="005679D3" w:rsidRPr="00115A96">
        <w:rPr>
          <w:rFonts w:cstheme="minorHAnsi"/>
        </w:rPr>
        <w:t xml:space="preserve">ealth </w:t>
      </w:r>
      <w:r w:rsidR="00983648" w:rsidRPr="00115A96">
        <w:rPr>
          <w:rFonts w:cstheme="minorHAnsi"/>
        </w:rPr>
        <w:t xml:space="preserve">professionals; </w:t>
      </w:r>
      <w:r w:rsidR="00D65A39" w:rsidRPr="00115A96">
        <w:rPr>
          <w:rFonts w:cstheme="minorHAnsi"/>
        </w:rPr>
        <w:t>among U.S. adults 17.9 million cannot get a timely mental health appointment, 7.3 million experience delays in getting prescriptions, and 4.9 million do not have access to care</w:t>
      </w:r>
      <w:r w:rsidR="00EA3D6C" w:rsidRPr="00115A96">
        <w:rPr>
          <w:rFonts w:cstheme="minorHAnsi"/>
        </w:rPr>
        <w:t>, and more than 25 million live in areas with mental health professional shortage</w:t>
      </w:r>
      <w:r w:rsidR="00D65A39" w:rsidRPr="00115A96">
        <w:rPr>
          <w:rFonts w:cstheme="minorHAnsi"/>
        </w:rPr>
        <w:t xml:space="preserve"> </w:t>
      </w:r>
      <w:r w:rsidR="005679D3" w:rsidRPr="00115A96">
        <w:rPr>
          <w:rFonts w:cstheme="minorHAnsi"/>
        </w:rPr>
        <w:t>[</w:t>
      </w:r>
      <w:bookmarkStart w:id="1" w:name="_Hlk124358407"/>
      <w:r w:rsidR="00EA3D6C" w:rsidRPr="00115A96">
        <w:rPr>
          <w:rStyle w:val="EndnoteReference"/>
          <w:rFonts w:cstheme="minorHAnsi"/>
        </w:rPr>
        <w:endnoteReference w:id="2"/>
      </w:r>
      <w:bookmarkEnd w:id="1"/>
      <w:r w:rsidR="005679D3" w:rsidRPr="00115A96">
        <w:rPr>
          <w:rFonts w:cstheme="minorHAnsi"/>
        </w:rPr>
        <w:t>]</w:t>
      </w:r>
      <w:r w:rsidR="00EA3D6C" w:rsidRPr="00115A96">
        <w:rPr>
          <w:rFonts w:cstheme="minorHAnsi"/>
        </w:rPr>
        <w:t xml:space="preserve">. </w:t>
      </w:r>
      <w:r w:rsidR="00456B10" w:rsidRPr="00115A96">
        <w:rPr>
          <w:rFonts w:cstheme="minorHAnsi"/>
        </w:rPr>
        <w:t>The</w:t>
      </w:r>
      <w:r w:rsidR="00983648" w:rsidRPr="00115A96">
        <w:rPr>
          <w:rFonts w:cstheme="minorHAnsi"/>
        </w:rPr>
        <w:t xml:space="preserve"> use of technology in delivery of mental health services can take many different forms</w:t>
      </w:r>
      <w:r w:rsidR="00456B10" w:rsidRPr="00115A96">
        <w:rPr>
          <w:rFonts w:cstheme="minorHAnsi"/>
        </w:rPr>
        <w:t>, including matching patients to antidepressants [</w:t>
      </w:r>
      <w:bookmarkStart w:id="2" w:name="_Hlk124347871"/>
      <w:r w:rsidR="00456B10" w:rsidRPr="00115A96">
        <w:rPr>
          <w:rStyle w:val="EndnoteReference"/>
          <w:rFonts w:cstheme="minorHAnsi"/>
        </w:rPr>
        <w:endnoteReference w:id="3"/>
      </w:r>
      <w:bookmarkEnd w:id="2"/>
      <w:r w:rsidR="00456B10" w:rsidRPr="00115A96">
        <w:rPr>
          <w:rFonts w:cstheme="minorHAnsi"/>
        </w:rPr>
        <w:t xml:space="preserve">], computer </w:t>
      </w:r>
      <w:r w:rsidR="00983648" w:rsidRPr="00115A96">
        <w:rPr>
          <w:rFonts w:cstheme="minorHAnsi"/>
        </w:rPr>
        <w:t>cognitive t</w:t>
      </w:r>
      <w:r w:rsidR="00456B10" w:rsidRPr="00115A96">
        <w:rPr>
          <w:rFonts w:cstheme="minorHAnsi"/>
        </w:rPr>
        <w:t>herapy [</w:t>
      </w:r>
      <w:r w:rsidR="00456B10" w:rsidRPr="00115A96">
        <w:rPr>
          <w:rStyle w:val="EndnoteReference"/>
          <w:rFonts w:cstheme="minorHAnsi"/>
        </w:rPr>
        <w:endnoteReference w:id="4"/>
      </w:r>
      <w:r w:rsidR="009176A3" w:rsidRPr="00115A96">
        <w:rPr>
          <w:rFonts w:cstheme="minorHAnsi"/>
        </w:rPr>
        <w:t xml:space="preserve">, </w:t>
      </w:r>
      <w:r w:rsidR="009176A3" w:rsidRPr="00115A96">
        <w:rPr>
          <w:rStyle w:val="EndnoteReference"/>
          <w:rFonts w:cstheme="minorHAnsi"/>
        </w:rPr>
        <w:endnoteReference w:id="5"/>
      </w:r>
      <w:r w:rsidR="00456B10" w:rsidRPr="00115A96">
        <w:rPr>
          <w:rFonts w:cstheme="minorHAnsi"/>
        </w:rPr>
        <w:t>], robot-assisted therapy [</w:t>
      </w:r>
      <w:r w:rsidR="00456B10" w:rsidRPr="00115A96">
        <w:rPr>
          <w:rStyle w:val="EndnoteReference"/>
          <w:rFonts w:cstheme="minorHAnsi"/>
        </w:rPr>
        <w:endnoteReference w:id="6"/>
      </w:r>
      <w:r w:rsidR="00456B10" w:rsidRPr="00115A96">
        <w:rPr>
          <w:rFonts w:cstheme="minorHAnsi"/>
        </w:rPr>
        <w:t xml:space="preserve">], </w:t>
      </w:r>
      <w:r w:rsidR="009176A3" w:rsidRPr="00115A96">
        <w:rPr>
          <w:rFonts w:cstheme="minorHAnsi"/>
        </w:rPr>
        <w:t>phone-based therapy [</w:t>
      </w:r>
      <w:r w:rsidR="009176A3" w:rsidRPr="00115A96">
        <w:rPr>
          <w:rStyle w:val="EndnoteReference"/>
          <w:rFonts w:cstheme="minorHAnsi"/>
        </w:rPr>
        <w:endnoteReference w:id="7"/>
      </w:r>
      <w:r w:rsidR="009176A3" w:rsidRPr="00115A96">
        <w:rPr>
          <w:rFonts w:cstheme="minorHAnsi"/>
        </w:rPr>
        <w:t xml:space="preserve">], </w:t>
      </w:r>
      <w:r w:rsidR="00456B10" w:rsidRPr="00115A96">
        <w:rPr>
          <w:rFonts w:cstheme="minorHAnsi"/>
        </w:rPr>
        <w:t>and watch</w:t>
      </w:r>
      <w:r w:rsidR="00983648" w:rsidRPr="00115A96">
        <w:rPr>
          <w:rFonts w:cstheme="minorHAnsi"/>
        </w:rPr>
        <w:t xml:space="preserve"> and mobile device</w:t>
      </w:r>
      <w:r w:rsidR="00456B10" w:rsidRPr="00115A96">
        <w:rPr>
          <w:rFonts w:cstheme="minorHAnsi"/>
        </w:rPr>
        <w:t xml:space="preserve"> screening of depression [</w:t>
      </w:r>
      <w:r w:rsidR="00456B10" w:rsidRPr="00115A96">
        <w:rPr>
          <w:rStyle w:val="EndnoteReference"/>
          <w:rFonts w:cstheme="minorHAnsi"/>
        </w:rPr>
        <w:endnoteReference w:id="8"/>
      </w:r>
      <w:r w:rsidR="00456B10" w:rsidRPr="00115A96">
        <w:rPr>
          <w:rFonts w:cstheme="minorHAnsi"/>
        </w:rPr>
        <w:t>].</w:t>
      </w:r>
      <w:r w:rsidR="00115A96">
        <w:rPr>
          <w:rFonts w:cstheme="minorHAnsi"/>
        </w:rPr>
        <w:t xml:space="preserve"> </w:t>
      </w:r>
      <w:r w:rsidR="00D30957" w:rsidRPr="00115A96">
        <w:rPr>
          <w:rFonts w:cstheme="minorHAnsi"/>
        </w:rPr>
        <w:t>This proposal focuses on AI</w:t>
      </w:r>
      <w:r w:rsidR="00151561">
        <w:rPr>
          <w:rFonts w:cstheme="minorHAnsi"/>
        </w:rPr>
        <w:t>-</w:t>
      </w:r>
      <w:r w:rsidR="00D30957" w:rsidRPr="00115A96">
        <w:rPr>
          <w:rFonts w:cstheme="minorHAnsi"/>
        </w:rPr>
        <w:t>based treatment recommendations</w:t>
      </w:r>
      <w:r w:rsidR="00151561">
        <w:rPr>
          <w:rFonts w:cstheme="minorHAnsi"/>
        </w:rPr>
        <w:t xml:space="preserve">, available at </w:t>
      </w:r>
      <w:hyperlink r:id="rId7" w:history="1">
        <w:r w:rsidR="00151561" w:rsidRPr="00D23760">
          <w:rPr>
            <w:rStyle w:val="Hyperlink"/>
            <w:rFonts w:cstheme="minorHAnsi"/>
          </w:rPr>
          <w:t>http://rapidimprovement.ai</w:t>
        </w:r>
      </w:hyperlink>
      <w:r w:rsidR="00D30957" w:rsidRPr="00115A96">
        <w:rPr>
          <w:rFonts w:cstheme="minorHAnsi"/>
        </w:rPr>
        <w:t>.</w:t>
      </w:r>
      <w:r w:rsidR="00151561">
        <w:rPr>
          <w:rFonts w:cstheme="minorHAnsi"/>
        </w:rPr>
        <w:t xml:space="preserve"> </w:t>
      </w:r>
      <w:r w:rsidR="00115A96">
        <w:rPr>
          <w:rFonts w:cstheme="minorHAnsi"/>
        </w:rPr>
        <w:t xml:space="preserve"> </w:t>
      </w:r>
      <w:r w:rsidR="00456B10" w:rsidRPr="00115A96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710"/>
      </w:tblGrid>
      <w:tr w:rsidR="00322845" w:rsidRPr="00115A96" w14:paraId="53B8B721" w14:textId="77777777" w:rsidTr="008961CC">
        <w:trPr>
          <w:jc w:val="right"/>
        </w:trPr>
        <w:tc>
          <w:tcPr>
            <w:tcW w:w="3710" w:type="dxa"/>
          </w:tcPr>
          <w:p w14:paraId="6DC90459" w14:textId="3955814C" w:rsidR="00322845" w:rsidRPr="00115A96" w:rsidRDefault="00322845" w:rsidP="00322845">
            <w:pPr>
              <w:jc w:val="center"/>
              <w:rPr>
                <w:rFonts w:cstheme="minorHAnsi"/>
                <w:b/>
                <w:bCs/>
              </w:rPr>
            </w:pPr>
            <w:r w:rsidRPr="00115A96">
              <w:rPr>
                <w:rFonts w:cstheme="minorHAnsi"/>
                <w:b/>
                <w:bCs/>
              </w:rPr>
              <w:t>26.3</w:t>
            </w:r>
            <w:r w:rsidR="002D563C" w:rsidRPr="00115A96">
              <w:rPr>
                <w:rFonts w:cstheme="minorHAnsi"/>
                <w:b/>
                <w:bCs/>
              </w:rPr>
              <w:t xml:space="preserve"> million </w:t>
            </w:r>
            <w:r w:rsidRPr="00115A96">
              <w:rPr>
                <w:rFonts w:cstheme="minorHAnsi"/>
                <w:b/>
                <w:bCs/>
              </w:rPr>
              <w:t>U.S. adults receive virtual mental health services</w:t>
            </w:r>
            <w:r w:rsidR="0076429F" w:rsidRPr="00115A96">
              <w:rPr>
                <w:rFonts w:cstheme="minorHAnsi"/>
                <w:b/>
                <w:bCs/>
              </w:rPr>
              <w:t>, where AI can supplement clinicians</w:t>
            </w:r>
            <w:r w:rsidR="008961CC" w:rsidRPr="00115A96">
              <w:rPr>
                <w:rFonts w:cstheme="minorHAnsi"/>
                <w:b/>
                <w:bCs/>
              </w:rPr>
              <w:t>’ care</w:t>
            </w:r>
            <w:r w:rsidRPr="00115A96">
              <w:rPr>
                <w:rFonts w:cstheme="minorHAnsi"/>
                <w:b/>
                <w:bCs/>
              </w:rPr>
              <w:t xml:space="preserve"> </w:t>
            </w:r>
            <w:r w:rsidRPr="00115A96">
              <w:rPr>
                <w:rFonts w:cstheme="minorHAnsi"/>
              </w:rPr>
              <w:t>[</w:t>
            </w:r>
            <w:r w:rsidRPr="00115A96">
              <w:rPr>
                <w:rStyle w:val="EndnoteReference"/>
                <w:rFonts w:cstheme="minorHAnsi"/>
              </w:rPr>
              <w:endnoteReference w:id="9"/>
            </w:r>
            <w:r w:rsidRPr="00115A96">
              <w:rPr>
                <w:rFonts w:cstheme="minorHAnsi"/>
              </w:rPr>
              <w:t>]</w:t>
            </w:r>
          </w:p>
        </w:tc>
      </w:tr>
    </w:tbl>
    <w:p w14:paraId="77E42A8A" w14:textId="77777777" w:rsidR="00151561" w:rsidRDefault="00D30957" w:rsidP="00264F2A">
      <w:pPr>
        <w:spacing w:after="0" w:line="240" w:lineRule="auto"/>
        <w:ind w:firstLine="432"/>
        <w:rPr>
          <w:rFonts w:cstheme="minorHAnsi"/>
        </w:rPr>
      </w:pPr>
      <w:r w:rsidRPr="00115A96">
        <w:rPr>
          <w:rFonts w:cstheme="minorHAnsi"/>
        </w:rPr>
        <w:t>T</w:t>
      </w:r>
      <w:r w:rsidR="00983648" w:rsidRPr="00115A96">
        <w:rPr>
          <w:rFonts w:cstheme="minorHAnsi"/>
        </w:rPr>
        <w:t xml:space="preserve">echnology assisted mental health services </w:t>
      </w:r>
      <w:r w:rsidRPr="00115A96">
        <w:rPr>
          <w:rFonts w:cstheme="minorHAnsi"/>
        </w:rPr>
        <w:t>are</w:t>
      </w:r>
      <w:r w:rsidR="00115A96">
        <w:rPr>
          <w:rFonts w:cstheme="minorHAnsi"/>
        </w:rPr>
        <w:t xml:space="preserve"> </w:t>
      </w:r>
      <w:r w:rsidR="00983648" w:rsidRPr="00115A96">
        <w:rPr>
          <w:rFonts w:cstheme="minorHAnsi"/>
        </w:rPr>
        <w:t xml:space="preserve">prevalent. </w:t>
      </w:r>
      <w:r w:rsidRPr="00115A96">
        <w:rPr>
          <w:rFonts w:cstheme="minorHAnsi"/>
        </w:rPr>
        <w:t xml:space="preserve">More than </w:t>
      </w:r>
      <w:r w:rsidR="00EA3D6C" w:rsidRPr="00115A96">
        <w:rPr>
          <w:rFonts w:cstheme="minorHAnsi"/>
        </w:rPr>
        <w:t xml:space="preserve">$4.5 billion </w:t>
      </w:r>
      <w:r w:rsidRPr="00115A96">
        <w:rPr>
          <w:rFonts w:cstheme="minorHAnsi"/>
        </w:rPr>
        <w:t>have funded technology- based delivery of mental health services</w:t>
      </w:r>
      <w:r w:rsidR="00EA3D6C" w:rsidRPr="00115A96">
        <w:rPr>
          <w:rFonts w:cstheme="minorHAnsi"/>
        </w:rPr>
        <w:t xml:space="preserve"> [</w:t>
      </w:r>
      <w:r w:rsidR="00EA3D6C" w:rsidRPr="00115A96">
        <w:rPr>
          <w:rStyle w:val="EndnoteReference"/>
          <w:rFonts w:cstheme="minorHAnsi"/>
        </w:rPr>
        <w:endnoteReference w:id="10"/>
      </w:r>
      <w:r w:rsidR="00EA3D6C" w:rsidRPr="00115A96">
        <w:rPr>
          <w:rFonts w:cstheme="minorHAnsi"/>
        </w:rPr>
        <w:t>]</w:t>
      </w:r>
      <w:r w:rsidR="00F26B7E" w:rsidRPr="00115A96">
        <w:rPr>
          <w:rFonts w:cstheme="minorHAnsi"/>
        </w:rPr>
        <w:t>.</w:t>
      </w:r>
      <w:r w:rsidR="00115A96">
        <w:rPr>
          <w:rFonts w:cstheme="minorHAnsi"/>
        </w:rPr>
        <w:t xml:space="preserve"> </w:t>
      </w:r>
      <w:r w:rsidR="00F26B7E" w:rsidRPr="00115A96">
        <w:rPr>
          <w:rFonts w:cstheme="minorHAnsi"/>
        </w:rPr>
        <w:t>In 5-7 years, these companies have grown from small start-up to serving millions of patients</w:t>
      </w:r>
      <w:r w:rsidRPr="00115A96">
        <w:rPr>
          <w:rFonts w:cstheme="minorHAnsi"/>
        </w:rPr>
        <w:t xml:space="preserve"> and multimillion dollar revenue: In 2021, </w:t>
      </w:r>
      <w:r w:rsidR="00EA3D6C" w:rsidRPr="00115A96">
        <w:rPr>
          <w:rFonts w:cstheme="minorHAnsi"/>
        </w:rPr>
        <w:t xml:space="preserve">(1) Meditopia </w:t>
      </w:r>
      <w:r w:rsidR="00241107" w:rsidRPr="00115A96">
        <w:rPr>
          <w:rFonts w:cstheme="minorHAnsi"/>
        </w:rPr>
        <w:t>Inc.</w:t>
      </w:r>
      <w:r w:rsidR="006B45D9" w:rsidRPr="00115A96">
        <w:rPr>
          <w:rFonts w:cstheme="minorHAnsi"/>
        </w:rPr>
        <w:t xml:space="preserve">, </w:t>
      </w:r>
      <w:r w:rsidR="00F26B7E" w:rsidRPr="00115A96">
        <w:rPr>
          <w:rFonts w:eastAsia="Times New Roman" w:cstheme="minorHAnsi"/>
          <w:lang w:eastAsia="zh-CN"/>
        </w:rPr>
        <w:t>revenue of $52,900,000</w:t>
      </w:r>
      <w:r w:rsidR="006B45D9" w:rsidRPr="00115A96">
        <w:rPr>
          <w:rFonts w:eastAsia="Times New Roman" w:cstheme="minorHAnsi"/>
          <w:lang w:eastAsia="zh-CN"/>
        </w:rPr>
        <w:t xml:space="preserve">, </w:t>
      </w:r>
      <w:r w:rsidR="00EA3D6C" w:rsidRPr="00115A96">
        <w:rPr>
          <w:rFonts w:cstheme="minorHAnsi"/>
        </w:rPr>
        <w:t>provide</w:t>
      </w:r>
      <w:r w:rsidRPr="00115A96">
        <w:rPr>
          <w:rFonts w:cstheme="minorHAnsi"/>
        </w:rPr>
        <w:t>d</w:t>
      </w:r>
      <w:r w:rsidR="00EA3D6C" w:rsidRPr="00115A96">
        <w:rPr>
          <w:rFonts w:cstheme="minorHAnsi"/>
        </w:rPr>
        <w:t xml:space="preserve"> computer-assisted phone-based counseling to more than 18 million patients. (2) Lyra Health</w:t>
      </w:r>
      <w:r w:rsidR="00456B10" w:rsidRPr="00115A96">
        <w:rPr>
          <w:rFonts w:cstheme="minorHAnsi"/>
        </w:rPr>
        <w:t xml:space="preserve"> Inc.</w:t>
      </w:r>
      <w:r w:rsidR="006B45D9" w:rsidRPr="00115A96">
        <w:rPr>
          <w:rFonts w:cstheme="minorHAnsi"/>
        </w:rPr>
        <w:t xml:space="preserve">, </w:t>
      </w:r>
      <w:r w:rsidR="00F26B7E" w:rsidRPr="00115A96">
        <w:rPr>
          <w:rFonts w:eastAsia="Times New Roman" w:cstheme="minorHAnsi"/>
          <w:lang w:eastAsia="zh-CN"/>
        </w:rPr>
        <w:t>revenue of $338,700,000</w:t>
      </w:r>
      <w:r w:rsidR="006B45D9" w:rsidRPr="00115A96">
        <w:rPr>
          <w:rFonts w:eastAsia="Times New Roman" w:cstheme="minorHAnsi"/>
          <w:lang w:eastAsia="zh-CN"/>
        </w:rPr>
        <w:t xml:space="preserve">, </w:t>
      </w:r>
      <w:r w:rsidR="00456B10" w:rsidRPr="00115A96">
        <w:rPr>
          <w:rFonts w:cstheme="minorHAnsi"/>
        </w:rPr>
        <w:t>provide</w:t>
      </w:r>
      <w:r w:rsidRPr="00115A96">
        <w:rPr>
          <w:rFonts w:cstheme="minorHAnsi"/>
        </w:rPr>
        <w:t>d</w:t>
      </w:r>
      <w:r w:rsidR="00456B10" w:rsidRPr="00115A96">
        <w:rPr>
          <w:rFonts w:cstheme="minorHAnsi"/>
        </w:rPr>
        <w:t xml:space="preserve"> </w:t>
      </w:r>
      <w:r w:rsidR="00241107" w:rsidRPr="00115A96">
        <w:rPr>
          <w:rFonts w:cstheme="minorHAnsi"/>
        </w:rPr>
        <w:t>digital mental health services (3) Spring Health Inc.</w:t>
      </w:r>
      <w:r w:rsidR="006B45D9" w:rsidRPr="00115A96">
        <w:rPr>
          <w:rFonts w:cstheme="minorHAnsi"/>
        </w:rPr>
        <w:t xml:space="preserve">, </w:t>
      </w:r>
      <w:r w:rsidR="00F26B7E" w:rsidRPr="00115A96">
        <w:rPr>
          <w:rFonts w:eastAsia="Times New Roman" w:cstheme="minorHAnsi"/>
          <w:lang w:eastAsia="zh-CN"/>
        </w:rPr>
        <w:t>revenue of $126,000,000</w:t>
      </w:r>
      <w:r w:rsidR="006B45D9" w:rsidRPr="00115A96">
        <w:rPr>
          <w:rFonts w:eastAsia="Times New Roman" w:cstheme="minorHAnsi"/>
          <w:lang w:eastAsia="zh-CN"/>
        </w:rPr>
        <w:t>,</w:t>
      </w:r>
      <w:r w:rsidR="00F26B7E" w:rsidRPr="00115A96">
        <w:rPr>
          <w:rFonts w:eastAsia="Times New Roman" w:cstheme="minorHAnsi"/>
          <w:lang w:eastAsia="zh-CN"/>
        </w:rPr>
        <w:t xml:space="preserve"> </w:t>
      </w:r>
      <w:r w:rsidR="00241107" w:rsidRPr="00115A96">
        <w:rPr>
          <w:rFonts w:cstheme="minorHAnsi"/>
        </w:rPr>
        <w:t>matche</w:t>
      </w:r>
      <w:r w:rsidRPr="00115A96">
        <w:rPr>
          <w:rFonts w:cstheme="minorHAnsi"/>
        </w:rPr>
        <w:t>d</w:t>
      </w:r>
      <w:r w:rsidR="00241107" w:rsidRPr="00115A96">
        <w:rPr>
          <w:rFonts w:cstheme="minorHAnsi"/>
        </w:rPr>
        <w:t xml:space="preserve"> employees to mental health services, (</w:t>
      </w:r>
      <w:r w:rsidR="006B45D9" w:rsidRPr="00115A96">
        <w:rPr>
          <w:rFonts w:cstheme="minorHAnsi"/>
        </w:rPr>
        <w:t>4</w:t>
      </w:r>
      <w:r w:rsidR="00241107" w:rsidRPr="00115A96">
        <w:rPr>
          <w:rFonts w:cstheme="minorHAnsi"/>
        </w:rPr>
        <w:t>) Meru Health Inc.</w:t>
      </w:r>
      <w:r w:rsidR="006B45D9" w:rsidRPr="00115A96">
        <w:rPr>
          <w:rFonts w:cstheme="minorHAnsi"/>
        </w:rPr>
        <w:t xml:space="preserve">, </w:t>
      </w:r>
      <w:r w:rsidR="00F26B7E" w:rsidRPr="00115A96">
        <w:rPr>
          <w:rFonts w:cstheme="minorHAnsi"/>
          <w:bCs/>
          <w:iCs/>
          <w:lang w:eastAsia="zh-CN"/>
        </w:rPr>
        <w:t>revenue of $5,000,000</w:t>
      </w:r>
      <w:r w:rsidR="006B45D9" w:rsidRPr="00115A96">
        <w:rPr>
          <w:rFonts w:cstheme="minorHAnsi"/>
          <w:bCs/>
          <w:iCs/>
          <w:lang w:eastAsia="zh-CN"/>
        </w:rPr>
        <w:t>,</w:t>
      </w:r>
      <w:r w:rsidR="00F26B7E" w:rsidRPr="00115A96">
        <w:rPr>
          <w:rFonts w:cstheme="minorHAnsi"/>
          <w:bCs/>
          <w:iCs/>
          <w:lang w:eastAsia="zh-CN"/>
        </w:rPr>
        <w:t xml:space="preserve"> </w:t>
      </w:r>
      <w:r w:rsidR="00241107" w:rsidRPr="00115A96">
        <w:rPr>
          <w:rFonts w:cstheme="minorHAnsi"/>
        </w:rPr>
        <w:t>offer</w:t>
      </w:r>
      <w:r w:rsidRPr="00115A96">
        <w:rPr>
          <w:rFonts w:cstheme="minorHAnsi"/>
        </w:rPr>
        <w:t>ed</w:t>
      </w:r>
      <w:r w:rsidR="00241107" w:rsidRPr="00115A96">
        <w:rPr>
          <w:rFonts w:cstheme="minorHAnsi"/>
        </w:rPr>
        <w:t xml:space="preserve"> digital treatment for depression and report</w:t>
      </w:r>
      <w:r w:rsidRPr="00115A96">
        <w:rPr>
          <w:rFonts w:cstheme="minorHAnsi"/>
        </w:rPr>
        <w:t>ed</w:t>
      </w:r>
      <w:r w:rsidR="00241107" w:rsidRPr="00115A96">
        <w:rPr>
          <w:rFonts w:cstheme="minorHAnsi"/>
        </w:rPr>
        <w:t xml:space="preserve"> that 75% of patients </w:t>
      </w:r>
      <w:r w:rsidR="00456B10" w:rsidRPr="00115A96">
        <w:rPr>
          <w:rFonts w:cstheme="minorHAnsi"/>
        </w:rPr>
        <w:t>experience</w:t>
      </w:r>
      <w:r w:rsidRPr="00115A96">
        <w:rPr>
          <w:rFonts w:cstheme="minorHAnsi"/>
        </w:rPr>
        <w:t>d</w:t>
      </w:r>
      <w:r w:rsidR="00456B10" w:rsidRPr="00115A96">
        <w:rPr>
          <w:rFonts w:cstheme="minorHAnsi"/>
        </w:rPr>
        <w:t xml:space="preserve"> remission of </w:t>
      </w:r>
      <w:r w:rsidR="00241107" w:rsidRPr="00115A96">
        <w:rPr>
          <w:rFonts w:cstheme="minorHAnsi"/>
        </w:rPr>
        <w:t>depression symptom [</w:t>
      </w:r>
      <w:bookmarkStart w:id="3" w:name="_Hlk124347694"/>
      <w:r w:rsidR="00241107" w:rsidRPr="00115A96">
        <w:rPr>
          <w:rStyle w:val="EndnoteReference"/>
          <w:rFonts w:cstheme="minorHAnsi"/>
        </w:rPr>
        <w:endnoteReference w:id="11"/>
      </w:r>
      <w:r w:rsidR="00241107" w:rsidRPr="00115A96">
        <w:rPr>
          <w:rFonts w:cstheme="minorHAnsi"/>
        </w:rPr>
        <w:t>]</w:t>
      </w:r>
      <w:bookmarkEnd w:id="3"/>
      <w:r w:rsidR="00241107" w:rsidRPr="00115A96">
        <w:rPr>
          <w:rFonts w:cstheme="minorHAnsi"/>
        </w:rPr>
        <w:t xml:space="preserve">. </w:t>
      </w:r>
      <w:r w:rsidR="00456B10" w:rsidRPr="00115A96">
        <w:rPr>
          <w:rFonts w:cstheme="minorHAnsi"/>
        </w:rPr>
        <w:t>(</w:t>
      </w:r>
      <w:r w:rsidR="006B45D9" w:rsidRPr="00115A96">
        <w:rPr>
          <w:rFonts w:cstheme="minorHAnsi"/>
        </w:rPr>
        <w:t>5</w:t>
      </w:r>
      <w:r w:rsidR="00456B10" w:rsidRPr="00115A96">
        <w:rPr>
          <w:rFonts w:cstheme="minorHAnsi"/>
        </w:rPr>
        <w:t xml:space="preserve">) </w:t>
      </w:r>
      <w:r w:rsidR="00F308B2" w:rsidRPr="00115A96">
        <w:rPr>
          <w:rFonts w:cstheme="minorHAnsi"/>
        </w:rPr>
        <w:t xml:space="preserve">Iris Telehealth </w:t>
      </w:r>
      <w:r w:rsidR="006B45D9" w:rsidRPr="00115A96">
        <w:rPr>
          <w:rFonts w:cstheme="minorHAnsi"/>
        </w:rPr>
        <w:t xml:space="preserve">Inc., </w:t>
      </w:r>
      <w:r w:rsidR="006B45D9" w:rsidRPr="00115A96">
        <w:rPr>
          <w:rFonts w:eastAsia="Times New Roman" w:cstheme="minorHAnsi"/>
          <w:lang w:eastAsia="zh-CN"/>
        </w:rPr>
        <w:t>revenue of $32,200,000</w:t>
      </w:r>
      <w:r w:rsidR="006B45D9" w:rsidRPr="00115A96">
        <w:rPr>
          <w:rFonts w:cstheme="minorHAnsi"/>
        </w:rPr>
        <w:t xml:space="preserve">, </w:t>
      </w:r>
      <w:r w:rsidR="00456B10" w:rsidRPr="00115A96">
        <w:rPr>
          <w:rFonts w:cstheme="minorHAnsi"/>
        </w:rPr>
        <w:t>offer</w:t>
      </w:r>
      <w:r w:rsidRPr="00115A96">
        <w:rPr>
          <w:rFonts w:cstheme="minorHAnsi"/>
        </w:rPr>
        <w:t>ed</w:t>
      </w:r>
      <w:r w:rsidR="00456B10" w:rsidRPr="00115A96">
        <w:rPr>
          <w:rFonts w:cstheme="minorHAnsi"/>
        </w:rPr>
        <w:t xml:space="preserve"> </w:t>
      </w:r>
      <w:r w:rsidR="00F308B2" w:rsidRPr="00115A96">
        <w:rPr>
          <w:rFonts w:cstheme="minorHAnsi"/>
        </w:rPr>
        <w:t xml:space="preserve">tele-psychiatric services to more than 1.5 million patients. </w:t>
      </w:r>
      <w:r w:rsidR="00456B10" w:rsidRPr="00115A96">
        <w:rPr>
          <w:rFonts w:cstheme="minorHAnsi"/>
        </w:rPr>
        <w:t>(</w:t>
      </w:r>
      <w:r w:rsidR="006B45D9" w:rsidRPr="00115A96">
        <w:rPr>
          <w:rFonts w:cstheme="minorHAnsi"/>
        </w:rPr>
        <w:t>6</w:t>
      </w:r>
      <w:r w:rsidR="00456B10" w:rsidRPr="00115A96">
        <w:rPr>
          <w:rFonts w:cstheme="minorHAnsi"/>
        </w:rPr>
        <w:t xml:space="preserve">) </w:t>
      </w:r>
      <w:r w:rsidR="00F308B2" w:rsidRPr="00115A96">
        <w:rPr>
          <w:rFonts w:cstheme="minorHAnsi"/>
        </w:rPr>
        <w:t xml:space="preserve">Eleanor Health </w:t>
      </w:r>
      <w:r w:rsidR="00456B10" w:rsidRPr="00115A96">
        <w:rPr>
          <w:rFonts w:cstheme="minorHAnsi"/>
        </w:rPr>
        <w:t>Inc.</w:t>
      </w:r>
      <w:r w:rsidR="006B45D9" w:rsidRPr="00115A96">
        <w:rPr>
          <w:rFonts w:cstheme="minorHAnsi"/>
        </w:rPr>
        <w:t xml:space="preserve">, </w:t>
      </w:r>
      <w:r w:rsidR="006B45D9" w:rsidRPr="00115A96">
        <w:rPr>
          <w:rFonts w:eastAsia="Times New Roman" w:cstheme="minorHAnsi"/>
          <w:lang w:eastAsia="zh-CN"/>
        </w:rPr>
        <w:t>revenue of $13,500,000,</w:t>
      </w:r>
      <w:r w:rsidR="00456B10" w:rsidRPr="00115A96">
        <w:rPr>
          <w:rFonts w:cstheme="minorHAnsi"/>
        </w:rPr>
        <w:t xml:space="preserve"> </w:t>
      </w:r>
      <w:r w:rsidR="00F308B2" w:rsidRPr="00115A96">
        <w:rPr>
          <w:rFonts w:cstheme="minorHAnsi"/>
        </w:rPr>
        <w:t xml:space="preserve">is a comprehensive digital mental health service available in 6 States. </w:t>
      </w:r>
      <w:r w:rsidR="00456B10" w:rsidRPr="00115A96">
        <w:rPr>
          <w:rFonts w:cstheme="minorHAnsi"/>
        </w:rPr>
        <w:t>(</w:t>
      </w:r>
      <w:r w:rsidR="006B45D9" w:rsidRPr="00115A96">
        <w:rPr>
          <w:rFonts w:cstheme="minorHAnsi"/>
        </w:rPr>
        <w:t>6</w:t>
      </w:r>
      <w:r w:rsidR="00456B10" w:rsidRPr="00115A96">
        <w:rPr>
          <w:rFonts w:cstheme="minorHAnsi"/>
        </w:rPr>
        <w:t xml:space="preserve">) </w:t>
      </w:r>
      <w:r w:rsidR="007A05EC" w:rsidRPr="00115A96">
        <w:rPr>
          <w:rFonts w:cstheme="minorHAnsi"/>
        </w:rPr>
        <w:t xml:space="preserve">Concert Health </w:t>
      </w:r>
      <w:r w:rsidR="00456B10" w:rsidRPr="00115A96">
        <w:rPr>
          <w:rFonts w:cstheme="minorHAnsi"/>
        </w:rPr>
        <w:t>Inc.</w:t>
      </w:r>
      <w:r w:rsidR="006B45D9" w:rsidRPr="00115A96">
        <w:rPr>
          <w:rFonts w:cstheme="minorHAnsi"/>
        </w:rPr>
        <w:t xml:space="preserve">, </w:t>
      </w:r>
      <w:r w:rsidR="006B45D9" w:rsidRPr="00115A96">
        <w:rPr>
          <w:rFonts w:eastAsia="Times New Roman" w:cstheme="minorHAnsi"/>
          <w:lang w:eastAsia="zh-CN"/>
        </w:rPr>
        <w:t>revenue of $14,200,000,</w:t>
      </w:r>
      <w:r w:rsidR="00456B10" w:rsidRPr="00115A96">
        <w:rPr>
          <w:rFonts w:cstheme="minorHAnsi"/>
        </w:rPr>
        <w:t xml:space="preserve"> </w:t>
      </w:r>
      <w:r w:rsidR="007A05EC" w:rsidRPr="00115A96">
        <w:rPr>
          <w:rFonts w:cstheme="minorHAnsi"/>
        </w:rPr>
        <w:t>provide</w:t>
      </w:r>
      <w:r w:rsidRPr="00115A96">
        <w:rPr>
          <w:rFonts w:cstheme="minorHAnsi"/>
        </w:rPr>
        <w:t>d</w:t>
      </w:r>
      <w:r w:rsidR="007A05EC" w:rsidRPr="00115A96">
        <w:rPr>
          <w:rFonts w:cstheme="minorHAnsi"/>
        </w:rPr>
        <w:t xml:space="preserve"> digital mental health services over </w:t>
      </w:r>
      <w:r w:rsidR="009D79E0" w:rsidRPr="00115A96">
        <w:rPr>
          <w:rFonts w:cstheme="minorHAnsi"/>
        </w:rPr>
        <w:t xml:space="preserve">12 States. </w:t>
      </w:r>
      <w:r w:rsidR="00456B10" w:rsidRPr="00115A96">
        <w:rPr>
          <w:rFonts w:cstheme="minorHAnsi"/>
        </w:rPr>
        <w:t>(</w:t>
      </w:r>
      <w:r w:rsidR="00264F2A" w:rsidRPr="00115A96">
        <w:rPr>
          <w:rFonts w:cstheme="minorHAnsi"/>
        </w:rPr>
        <w:t>7</w:t>
      </w:r>
      <w:r w:rsidR="00456B10" w:rsidRPr="00115A96">
        <w:rPr>
          <w:rFonts w:cstheme="minorHAnsi"/>
        </w:rPr>
        <w:t xml:space="preserve">) </w:t>
      </w:r>
      <w:r w:rsidR="009D79E0" w:rsidRPr="00115A96">
        <w:rPr>
          <w:rFonts w:cstheme="minorHAnsi"/>
        </w:rPr>
        <w:t>Brightline</w:t>
      </w:r>
      <w:r w:rsidRPr="00115A96">
        <w:rPr>
          <w:rFonts w:cstheme="minorHAnsi"/>
        </w:rPr>
        <w:t xml:space="preserve"> Inc., revenue of </w:t>
      </w:r>
      <w:r w:rsidR="00513320" w:rsidRPr="00115A96">
        <w:rPr>
          <w:rFonts w:eastAsia="Times New Roman" w:cstheme="minorHAnsi"/>
          <w:lang w:eastAsia="zh-CN"/>
        </w:rPr>
        <w:t>$20,600,000</w:t>
      </w:r>
      <w:r w:rsidRPr="00115A96">
        <w:rPr>
          <w:rFonts w:cstheme="minorHAnsi"/>
        </w:rPr>
        <w:t xml:space="preserve">, </w:t>
      </w:r>
      <w:r w:rsidR="009D79E0" w:rsidRPr="00115A96">
        <w:rPr>
          <w:rFonts w:cstheme="minorHAnsi"/>
        </w:rPr>
        <w:t>provide</w:t>
      </w:r>
      <w:r w:rsidRPr="00115A96">
        <w:rPr>
          <w:rFonts w:cstheme="minorHAnsi"/>
        </w:rPr>
        <w:t>d</w:t>
      </w:r>
      <w:r w:rsidR="009D79E0" w:rsidRPr="00115A96">
        <w:rPr>
          <w:rFonts w:cstheme="minorHAnsi"/>
        </w:rPr>
        <w:t xml:space="preserve"> digital counseling to teenagers nationwide. </w:t>
      </w:r>
      <w:r w:rsidR="00456B10" w:rsidRPr="00115A96">
        <w:rPr>
          <w:rFonts w:cstheme="minorHAnsi"/>
        </w:rPr>
        <w:t>(</w:t>
      </w:r>
      <w:r w:rsidR="00513320" w:rsidRPr="00115A96">
        <w:rPr>
          <w:rFonts w:cstheme="minorHAnsi"/>
        </w:rPr>
        <w:t>8</w:t>
      </w:r>
      <w:r w:rsidR="00456B10" w:rsidRPr="00115A96">
        <w:rPr>
          <w:rFonts w:cstheme="minorHAnsi"/>
        </w:rPr>
        <w:t xml:space="preserve">) </w:t>
      </w:r>
      <w:r w:rsidR="009D79E0" w:rsidRPr="00115A96">
        <w:rPr>
          <w:rFonts w:cstheme="minorHAnsi"/>
        </w:rPr>
        <w:t xml:space="preserve">Elemy </w:t>
      </w:r>
      <w:r w:rsidR="00264F2A" w:rsidRPr="00115A96">
        <w:rPr>
          <w:rFonts w:cstheme="minorHAnsi"/>
        </w:rPr>
        <w:t xml:space="preserve">Inc., </w:t>
      </w:r>
      <w:r w:rsidR="00264F2A" w:rsidRPr="00115A96">
        <w:rPr>
          <w:rFonts w:eastAsia="Times New Roman" w:cstheme="minorHAnsi"/>
          <w:lang w:eastAsia="zh-CN"/>
        </w:rPr>
        <w:t>revenue of $50,000,000</w:t>
      </w:r>
      <w:r w:rsidR="00264F2A" w:rsidRPr="00115A96">
        <w:rPr>
          <w:rFonts w:cstheme="minorHAnsi"/>
        </w:rPr>
        <w:t xml:space="preserve"> </w:t>
      </w:r>
      <w:r w:rsidR="009D79E0" w:rsidRPr="00115A96">
        <w:rPr>
          <w:rFonts w:cstheme="minorHAnsi"/>
        </w:rPr>
        <w:t>provide</w:t>
      </w:r>
      <w:r w:rsidR="00513320" w:rsidRPr="00115A96">
        <w:rPr>
          <w:rFonts w:cstheme="minorHAnsi"/>
        </w:rPr>
        <w:t>d</w:t>
      </w:r>
      <w:r w:rsidR="009D79E0" w:rsidRPr="00115A96">
        <w:rPr>
          <w:rFonts w:cstheme="minorHAnsi"/>
        </w:rPr>
        <w:t xml:space="preserve"> digital services to children who have autism, ADHD, and PTSD. </w:t>
      </w:r>
      <w:r w:rsidR="00456B10" w:rsidRPr="00115A96">
        <w:rPr>
          <w:rFonts w:cstheme="minorHAnsi"/>
        </w:rPr>
        <w:t>(</w:t>
      </w:r>
      <w:r w:rsidR="00264F2A" w:rsidRPr="00115A96">
        <w:rPr>
          <w:rFonts w:cstheme="minorHAnsi"/>
        </w:rPr>
        <w:t>8</w:t>
      </w:r>
      <w:r w:rsidR="00456B10" w:rsidRPr="00115A96">
        <w:rPr>
          <w:rFonts w:cstheme="minorHAnsi"/>
        </w:rPr>
        <w:t xml:space="preserve">) </w:t>
      </w:r>
      <w:r w:rsidR="009D79E0" w:rsidRPr="00115A96">
        <w:rPr>
          <w:rFonts w:cstheme="minorHAnsi"/>
        </w:rPr>
        <w:t xml:space="preserve">Modern Health </w:t>
      </w:r>
      <w:r w:rsidR="00264F2A" w:rsidRPr="00115A96">
        <w:rPr>
          <w:rFonts w:cstheme="minorHAnsi"/>
        </w:rPr>
        <w:t xml:space="preserve">Inc., </w:t>
      </w:r>
      <w:r w:rsidR="00264F2A" w:rsidRPr="00115A96">
        <w:rPr>
          <w:rFonts w:eastAsia="Times New Roman" w:cstheme="minorHAnsi"/>
          <w:lang w:eastAsia="zh-CN"/>
        </w:rPr>
        <w:t xml:space="preserve">revenue of $58,700,000, </w:t>
      </w:r>
      <w:r w:rsidR="009D79E0" w:rsidRPr="00115A96">
        <w:rPr>
          <w:rFonts w:cstheme="minorHAnsi"/>
        </w:rPr>
        <w:t>enable</w:t>
      </w:r>
      <w:r w:rsidR="00513320" w:rsidRPr="00115A96">
        <w:rPr>
          <w:rFonts w:cstheme="minorHAnsi"/>
        </w:rPr>
        <w:t>d</w:t>
      </w:r>
      <w:r w:rsidR="009D79E0" w:rsidRPr="00115A96">
        <w:rPr>
          <w:rFonts w:cstheme="minorHAnsi"/>
        </w:rPr>
        <w:t xml:space="preserve"> employers to provide online counseling and therapy to their employees.</w:t>
      </w:r>
      <w:r w:rsidR="00264F2A" w:rsidRPr="00115A96">
        <w:rPr>
          <w:rFonts w:cstheme="minorHAnsi"/>
        </w:rPr>
        <w:t xml:space="preserve"> </w:t>
      </w:r>
      <w:r w:rsidR="00456B10" w:rsidRPr="00115A96">
        <w:rPr>
          <w:rFonts w:cstheme="minorHAnsi"/>
        </w:rPr>
        <w:t>(</w:t>
      </w:r>
      <w:r w:rsidR="00264F2A" w:rsidRPr="00115A96">
        <w:rPr>
          <w:rFonts w:cstheme="minorHAnsi"/>
        </w:rPr>
        <w:t>9</w:t>
      </w:r>
      <w:r w:rsidR="00456B10" w:rsidRPr="00115A96">
        <w:rPr>
          <w:rFonts w:cstheme="minorHAnsi"/>
        </w:rPr>
        <w:t xml:space="preserve">) </w:t>
      </w:r>
      <w:r w:rsidR="002D563C" w:rsidRPr="00115A96">
        <w:rPr>
          <w:rFonts w:cstheme="minorHAnsi"/>
        </w:rPr>
        <w:t>Hims and Hers Inc</w:t>
      </w:r>
      <w:r w:rsidR="00264F2A" w:rsidRPr="00115A96">
        <w:rPr>
          <w:rFonts w:cstheme="minorHAnsi"/>
        </w:rPr>
        <w:t xml:space="preserve">., </w:t>
      </w:r>
      <w:r w:rsidR="00264F2A" w:rsidRPr="00115A96">
        <w:rPr>
          <w:rFonts w:cstheme="minorHAnsi"/>
          <w:bCs/>
          <w:iCs/>
          <w:lang w:eastAsia="zh-CN"/>
        </w:rPr>
        <w:t>revenue of $271,900,000,</w:t>
      </w:r>
      <w:r w:rsidR="002D563C" w:rsidRPr="00115A96">
        <w:rPr>
          <w:rFonts w:cstheme="minorHAnsi"/>
        </w:rPr>
        <w:t xml:space="preserve"> is a publicly traded company that</w:t>
      </w:r>
      <w:r w:rsidR="00A726DF" w:rsidRPr="00115A96">
        <w:rPr>
          <w:rFonts w:cstheme="minorHAnsi"/>
        </w:rPr>
        <w:t xml:space="preserve"> </w:t>
      </w:r>
      <w:r w:rsidR="002D563C" w:rsidRPr="00115A96">
        <w:rPr>
          <w:rFonts w:cstheme="minorHAnsi"/>
        </w:rPr>
        <w:t>prescribe</w:t>
      </w:r>
      <w:r w:rsidR="00A77F1B">
        <w:rPr>
          <w:rFonts w:cstheme="minorHAnsi"/>
        </w:rPr>
        <w:t>s</w:t>
      </w:r>
      <w:r w:rsidR="002D563C" w:rsidRPr="00115A96">
        <w:rPr>
          <w:rFonts w:cstheme="minorHAnsi"/>
        </w:rPr>
        <w:t xml:space="preserve"> antidepressants through an online interview</w:t>
      </w:r>
      <w:r w:rsidR="00A77F1B">
        <w:rPr>
          <w:rFonts w:cstheme="minorHAnsi"/>
        </w:rPr>
        <w:t>,</w:t>
      </w:r>
      <w:r w:rsidR="002D563C" w:rsidRPr="00115A96">
        <w:rPr>
          <w:rFonts w:cstheme="minorHAnsi"/>
        </w:rPr>
        <w:t xml:space="preserve"> </w:t>
      </w:r>
      <w:r w:rsidR="00A726DF" w:rsidRPr="00115A96">
        <w:rPr>
          <w:rFonts w:cstheme="minorHAnsi"/>
        </w:rPr>
        <w:t>followed by online visit</w:t>
      </w:r>
      <w:r w:rsidR="002D563C" w:rsidRPr="00115A96">
        <w:rPr>
          <w:rFonts w:cstheme="minorHAnsi"/>
        </w:rPr>
        <w:t xml:space="preserve">. </w:t>
      </w:r>
    </w:p>
    <w:p w14:paraId="0596B5E1" w14:textId="20E783B7" w:rsidR="00456B10" w:rsidRPr="00115A96" w:rsidRDefault="00151561" w:rsidP="00264F2A">
      <w:pPr>
        <w:spacing w:after="0" w:line="240" w:lineRule="auto"/>
        <w:ind w:firstLine="432"/>
        <w:rPr>
          <w:rFonts w:cstheme="minorHAnsi"/>
        </w:rPr>
      </w:pPr>
      <w:r>
        <w:rPr>
          <w:rFonts w:cstheme="minorHAnsi"/>
        </w:rPr>
        <w:t xml:space="preserve">Limited information is available on treatment prescribed through technology assisted interventions.  </w:t>
      </w:r>
      <w:r w:rsidR="00A77F1B">
        <w:rPr>
          <w:rFonts w:cstheme="minorHAnsi"/>
        </w:rPr>
        <w:t>It</w:t>
      </w:r>
      <w:r w:rsidR="00513320" w:rsidRPr="00115A96">
        <w:rPr>
          <w:rFonts w:cstheme="minorHAnsi"/>
        </w:rPr>
        <w:t xml:space="preserve"> is not clear </w:t>
      </w:r>
      <w:r w:rsidR="00A77F1B">
        <w:rPr>
          <w:rFonts w:cstheme="minorHAnsi"/>
        </w:rPr>
        <w:t>the</w:t>
      </w:r>
      <w:r w:rsidR="00513320" w:rsidRPr="00115A96">
        <w:rPr>
          <w:rFonts w:cstheme="minorHAnsi"/>
        </w:rPr>
        <w:t xml:space="preserve"> extent </w:t>
      </w:r>
      <w:r>
        <w:rPr>
          <w:rFonts w:cstheme="minorHAnsi"/>
        </w:rPr>
        <w:t xml:space="preserve">that clinicians </w:t>
      </w:r>
      <w:r w:rsidR="00513320" w:rsidRPr="00115A96">
        <w:rPr>
          <w:rFonts w:cstheme="minorHAnsi"/>
        </w:rPr>
        <w:t xml:space="preserve">follow either existing guidelines or AI-guided care. </w:t>
      </w:r>
      <w:r>
        <w:rPr>
          <w:rFonts w:cstheme="minorHAnsi"/>
        </w:rPr>
        <w:t>Yet, w</w:t>
      </w:r>
      <w:r w:rsidR="00513320" w:rsidRPr="00115A96">
        <w:rPr>
          <w:rFonts w:cstheme="minorHAnsi"/>
        </w:rPr>
        <w:t>e do know</w:t>
      </w:r>
      <w:r w:rsidR="00115A96">
        <w:rPr>
          <w:rFonts w:cstheme="minorHAnsi"/>
        </w:rPr>
        <w:t xml:space="preserve"> that</w:t>
      </w:r>
      <w:r w:rsidR="00F907E0" w:rsidRPr="00115A96">
        <w:rPr>
          <w:rFonts w:cstheme="minorHAnsi"/>
        </w:rPr>
        <w:t xml:space="preserve"> African Americans have poorer response to antidepressants than Whites [</w:t>
      </w:r>
      <w:r w:rsidR="00F907E0" w:rsidRPr="00115A96">
        <w:rPr>
          <w:rStyle w:val="EndnoteReference"/>
          <w:rFonts w:cstheme="minorHAnsi"/>
        </w:rPr>
        <w:endnoteReference w:id="12"/>
      </w:r>
      <w:r w:rsidR="00F907E0" w:rsidRPr="00115A96">
        <w:rPr>
          <w:rFonts w:cstheme="minorHAnsi"/>
        </w:rPr>
        <w:t>]</w:t>
      </w:r>
      <w:r w:rsidR="00B9795F">
        <w:rPr>
          <w:rFonts w:cstheme="minorHAnsi"/>
        </w:rPr>
        <w:t xml:space="preserve"> because m</w:t>
      </w:r>
      <w:r w:rsidR="00F907E0" w:rsidRPr="00115A96">
        <w:rPr>
          <w:rFonts w:cstheme="minorHAnsi"/>
        </w:rPr>
        <w:t>ost antidepressant</w:t>
      </w:r>
      <w:r w:rsidR="00B9795F">
        <w:rPr>
          <w:rFonts w:cstheme="minorHAnsi"/>
        </w:rPr>
        <w:t xml:space="preserve"> recommendation</w:t>
      </w:r>
      <w:r w:rsidR="00F907E0" w:rsidRPr="00115A96">
        <w:rPr>
          <w:rFonts w:cstheme="minorHAnsi"/>
        </w:rPr>
        <w:t xml:space="preserve">s </w:t>
      </w:r>
      <w:r w:rsidR="00B9795F">
        <w:rPr>
          <w:rFonts w:cstheme="minorHAnsi"/>
        </w:rPr>
        <w:t xml:space="preserve">depend on responses of </w:t>
      </w:r>
      <w:r w:rsidR="00F907E0" w:rsidRPr="00115A96">
        <w:rPr>
          <w:rFonts w:cstheme="minorHAnsi"/>
        </w:rPr>
        <w:t>White suburban women [</w:t>
      </w:r>
      <w:r w:rsidR="00F907E0" w:rsidRPr="00115A96">
        <w:rPr>
          <w:rStyle w:val="EndnoteReference"/>
          <w:rFonts w:cstheme="minorHAnsi"/>
        </w:rPr>
        <w:endnoteReference w:id="13"/>
      </w:r>
      <w:r w:rsidR="00F907E0" w:rsidRPr="00115A96">
        <w:rPr>
          <w:rFonts w:cstheme="minorHAnsi"/>
        </w:rPr>
        <w:t>]. Perhaps because of this poor response to treatment, only 37.1% of African Americans with any mental health diagnosis are in treatment [</w:t>
      </w:r>
      <w:r w:rsidR="00F907E0" w:rsidRPr="00115A96">
        <w:rPr>
          <w:rStyle w:val="EndnoteReference"/>
          <w:rFonts w:cstheme="minorHAnsi"/>
        </w:rPr>
        <w:endnoteReference w:id="14"/>
      </w:r>
      <w:r w:rsidR="00F907E0" w:rsidRPr="00115A96">
        <w:rPr>
          <w:rFonts w:cstheme="minorHAnsi"/>
        </w:rPr>
        <w:t>].</w:t>
      </w:r>
      <w:r w:rsidR="00115A96">
        <w:rPr>
          <w:rFonts w:cstheme="minorHAnsi"/>
        </w:rPr>
        <w:t xml:space="preserve"> </w:t>
      </w:r>
      <w:r w:rsidR="0045188A" w:rsidRPr="00115A96">
        <w:rPr>
          <w:rFonts w:cstheme="minorHAnsi"/>
        </w:rPr>
        <w:t>In general, three issues are reported as potential areas of concerns</w:t>
      </w:r>
      <w:r w:rsidR="00A77F1B">
        <w:rPr>
          <w:rFonts w:cstheme="minorHAnsi"/>
        </w:rPr>
        <w:t xml:space="preserve"> with AI-guided care</w:t>
      </w:r>
      <w:r w:rsidR="0089279F" w:rsidRPr="00115A96">
        <w:rPr>
          <w:rFonts w:cstheme="minorHAnsi"/>
        </w:rPr>
        <w:t>:</w:t>
      </w:r>
      <w:r w:rsidR="0045188A" w:rsidRPr="00115A96">
        <w:rPr>
          <w:rFonts w:cstheme="minorHAnsi"/>
        </w:rPr>
        <w:t xml:space="preserve"> (i) AI system</w:t>
      </w:r>
      <w:r w:rsidR="00D420D6" w:rsidRPr="00115A96">
        <w:rPr>
          <w:rFonts w:cstheme="minorHAnsi"/>
        </w:rPr>
        <w:t>s</w:t>
      </w:r>
      <w:r w:rsidR="0045188A" w:rsidRPr="00115A96">
        <w:rPr>
          <w:rFonts w:cstheme="minorHAnsi"/>
        </w:rPr>
        <w:t xml:space="preserve"> </w:t>
      </w:r>
      <w:r w:rsidR="0089279F" w:rsidRPr="00115A96">
        <w:rPr>
          <w:rFonts w:cstheme="minorHAnsi"/>
        </w:rPr>
        <w:t xml:space="preserve">“insidiously magnify” current </w:t>
      </w:r>
      <w:r w:rsidR="00D420D6" w:rsidRPr="00115A96">
        <w:rPr>
          <w:rFonts w:cstheme="minorHAnsi"/>
        </w:rPr>
        <w:t xml:space="preserve">care </w:t>
      </w:r>
      <w:r w:rsidR="0045188A" w:rsidRPr="00115A96">
        <w:rPr>
          <w:rFonts w:cstheme="minorHAnsi"/>
        </w:rPr>
        <w:t xml:space="preserve">that has failed to adjust to </w:t>
      </w:r>
      <w:r w:rsidR="0089279F" w:rsidRPr="00115A96">
        <w:rPr>
          <w:rFonts w:cstheme="minorHAnsi"/>
        </w:rPr>
        <w:t xml:space="preserve">the </w:t>
      </w:r>
      <w:r w:rsidR="0045188A" w:rsidRPr="00115A96">
        <w:rPr>
          <w:rFonts w:cstheme="minorHAnsi"/>
        </w:rPr>
        <w:t>needs of minorities</w:t>
      </w:r>
      <w:r w:rsidR="0089279F" w:rsidRPr="00115A96">
        <w:rPr>
          <w:rFonts w:cstheme="minorHAnsi"/>
        </w:rPr>
        <w:t xml:space="preserve"> [</w:t>
      </w:r>
      <w:r w:rsidR="0089279F" w:rsidRPr="00115A96">
        <w:rPr>
          <w:rStyle w:val="EndnoteReference"/>
          <w:rFonts w:cstheme="minorHAnsi"/>
        </w:rPr>
        <w:endnoteReference w:id="15"/>
      </w:r>
      <w:r w:rsidR="0089279F" w:rsidRPr="00115A96">
        <w:rPr>
          <w:rFonts w:cstheme="minorHAnsi"/>
        </w:rPr>
        <w:t>]</w:t>
      </w:r>
      <w:r w:rsidR="0045188A" w:rsidRPr="00115A96">
        <w:rPr>
          <w:rFonts w:cstheme="minorHAnsi"/>
        </w:rPr>
        <w:t xml:space="preserve">; (ii) </w:t>
      </w:r>
      <w:r w:rsidR="0089279F" w:rsidRPr="00115A96">
        <w:rPr>
          <w:rFonts w:cstheme="minorHAnsi"/>
        </w:rPr>
        <w:t>digital interventions are not tested on patients with the highest unmet health care needs and therefore may fail in pragmatic, real world, use [</w:t>
      </w:r>
      <w:r w:rsidR="0089279F" w:rsidRPr="00115A96">
        <w:rPr>
          <w:rStyle w:val="EndnoteReference"/>
          <w:rFonts w:cstheme="minorHAnsi"/>
        </w:rPr>
        <w:endnoteReference w:id="16"/>
      </w:r>
      <w:r w:rsidR="0089279F" w:rsidRPr="00115A96">
        <w:rPr>
          <w:rFonts w:cstheme="minorHAnsi"/>
        </w:rPr>
        <w:t>]</w:t>
      </w:r>
      <w:r w:rsidR="007A6B46" w:rsidRPr="00115A96">
        <w:rPr>
          <w:rFonts w:cstheme="minorHAnsi"/>
        </w:rPr>
        <w:t xml:space="preserve">; and </w:t>
      </w:r>
      <w:r w:rsidR="0045188A" w:rsidRPr="00115A96">
        <w:rPr>
          <w:rFonts w:cstheme="minorHAnsi"/>
        </w:rPr>
        <w:t xml:space="preserve">(iii) </w:t>
      </w:r>
      <w:r w:rsidR="007A6B46" w:rsidRPr="00115A96">
        <w:rPr>
          <w:rFonts w:cstheme="minorHAnsi"/>
        </w:rPr>
        <w:t>there may be stronger social bias among minorities for expressing mental health outcomes used to evaluate AI systems</w:t>
      </w:r>
      <w:r w:rsidR="0045188A" w:rsidRPr="00115A96">
        <w:rPr>
          <w:rFonts w:cstheme="minorHAnsi"/>
        </w:rPr>
        <w:t xml:space="preserve"> [</w:t>
      </w:r>
      <w:r w:rsidR="0045188A" w:rsidRPr="00115A96">
        <w:rPr>
          <w:rStyle w:val="EndnoteReference"/>
          <w:rFonts w:eastAsia="MS ????" w:cstheme="minorHAnsi"/>
        </w:rPr>
        <w:endnoteReference w:id="17"/>
      </w:r>
      <w:r w:rsidR="0045188A" w:rsidRPr="00115A96">
        <w:rPr>
          <w:rFonts w:cstheme="minorHAnsi"/>
        </w:rPr>
        <w:t xml:space="preserve">]. </w:t>
      </w:r>
      <w:r w:rsidRPr="00115A96">
        <w:rPr>
          <w:rFonts w:cstheme="minorHAnsi"/>
        </w:rPr>
        <w:t xml:space="preserve">In this study, we </w:t>
      </w:r>
      <w:r>
        <w:rPr>
          <w:rFonts w:cstheme="minorHAnsi"/>
        </w:rPr>
        <w:t xml:space="preserve">examine the impact of AI guided care on depressed African Americans.  </w:t>
      </w:r>
    </w:p>
    <w:p w14:paraId="0445DC53" w14:textId="77777777" w:rsidR="00151561" w:rsidRDefault="00151561" w:rsidP="00151561">
      <w:pPr>
        <w:spacing w:after="0" w:line="240" w:lineRule="auto"/>
        <w:rPr>
          <w:rFonts w:cstheme="minorHAnsi"/>
        </w:rPr>
      </w:pPr>
    </w:p>
    <w:p w14:paraId="23FC4E2B" w14:textId="214F8FA1" w:rsidR="00151561" w:rsidRDefault="00151561" w:rsidP="00151561">
      <w:pPr>
        <w:spacing w:after="0" w:line="240" w:lineRule="auto"/>
        <w:rPr>
          <w:rFonts w:cstheme="minorHAnsi"/>
        </w:rPr>
      </w:pPr>
      <w:r>
        <w:rPr>
          <w:rFonts w:cstheme="minorHAnsi"/>
        </w:rPr>
        <w:t>Methods</w:t>
      </w:r>
    </w:p>
    <w:p w14:paraId="3869B321" w14:textId="77777777" w:rsidR="008C0E75" w:rsidRDefault="00B9795F" w:rsidP="008C0E75">
      <w:pPr>
        <w:spacing w:after="0" w:line="240" w:lineRule="auto"/>
        <w:ind w:firstLine="432"/>
        <w:rPr>
          <w:rFonts w:cstheme="minorHAnsi"/>
        </w:rPr>
      </w:pPr>
      <w:r>
        <w:rPr>
          <w:rFonts w:cstheme="minorHAnsi"/>
        </w:rPr>
        <w:t xml:space="preserve">The current AI-guided care for depressed patient does not adjust for racial differences.  </w:t>
      </w:r>
      <w:r w:rsidR="000F597E" w:rsidRPr="00115A96">
        <w:rPr>
          <w:rFonts w:cstheme="minorHAnsi"/>
        </w:rPr>
        <w:t>Th</w:t>
      </w:r>
      <w:r>
        <w:rPr>
          <w:rFonts w:cstheme="minorHAnsi"/>
        </w:rPr>
        <w:t xml:space="preserve">is </w:t>
      </w:r>
      <w:r w:rsidR="00151561">
        <w:rPr>
          <w:rFonts w:cstheme="minorHAnsi"/>
        </w:rPr>
        <w:t xml:space="preserve">race-agnostic </w:t>
      </w:r>
      <w:r w:rsidR="000F597E" w:rsidRPr="00115A96">
        <w:rPr>
          <w:rFonts w:cstheme="minorHAnsi"/>
        </w:rPr>
        <w:t>decision aid</w:t>
      </w:r>
      <w:r>
        <w:rPr>
          <w:rFonts w:cstheme="minorHAnsi"/>
        </w:rPr>
        <w:t>,</w:t>
      </w:r>
      <w:r w:rsidR="00151561">
        <w:rPr>
          <w:rFonts w:cstheme="minorHAnsi"/>
        </w:rPr>
        <w:t xml:space="preserve"> developed by us</w:t>
      </w:r>
      <w:r>
        <w:rPr>
          <w:rFonts w:cstheme="minorHAnsi"/>
        </w:rPr>
        <w:t>,</w:t>
      </w:r>
      <w:r w:rsidR="00151561">
        <w:rPr>
          <w:rFonts w:cstheme="minorHAnsi"/>
        </w:rPr>
        <w:t xml:space="preserve"> has shown to</w:t>
      </w:r>
      <w:r w:rsidR="000F597E" w:rsidRPr="00115A96">
        <w:rPr>
          <w:rFonts w:cstheme="minorHAnsi"/>
        </w:rPr>
        <w:t xml:space="preserve"> </w:t>
      </w:r>
      <w:r w:rsidR="00182064" w:rsidRPr="00115A96">
        <w:rPr>
          <w:rFonts w:cstheme="minorHAnsi"/>
        </w:rPr>
        <w:t xml:space="preserve">reduce depression </w:t>
      </w:r>
      <w:r w:rsidR="000F597E" w:rsidRPr="00115A96">
        <w:rPr>
          <w:rFonts w:cstheme="minorHAnsi"/>
        </w:rPr>
        <w:t>remission rates by 17</w:t>
      </w:r>
      <w:r w:rsidR="00264F2A" w:rsidRPr="00115A96">
        <w:rPr>
          <w:rFonts w:cstheme="minorHAnsi"/>
        </w:rPr>
        <w:t>.5</w:t>
      </w:r>
      <w:r w:rsidR="000F597E" w:rsidRPr="00115A96">
        <w:rPr>
          <w:rFonts w:cstheme="minorHAnsi"/>
        </w:rPr>
        <w:t xml:space="preserve">% </w:t>
      </w:r>
      <w:r>
        <w:rPr>
          <w:rFonts w:cstheme="minorHAnsi"/>
        </w:rPr>
        <w:t xml:space="preserve">in the general population </w:t>
      </w:r>
      <w:r w:rsidR="000F597E" w:rsidRPr="00115A96">
        <w:rPr>
          <w:rFonts w:cstheme="minorHAnsi"/>
        </w:rPr>
        <w:t>but its effects on African Americans is not known [</w:t>
      </w:r>
      <w:r w:rsidR="000F597E" w:rsidRPr="00115A96">
        <w:rPr>
          <w:rStyle w:val="EndnoteReference"/>
          <w:rFonts w:cstheme="minorHAnsi"/>
        </w:rPr>
        <w:endnoteReference w:id="18"/>
      </w:r>
      <w:r w:rsidR="000F597E" w:rsidRPr="00115A96">
        <w:rPr>
          <w:rFonts w:cstheme="minorHAnsi"/>
        </w:rPr>
        <w:t>].</w:t>
      </w:r>
      <w:r w:rsidR="00115A96">
        <w:rPr>
          <w:rFonts w:cstheme="minorHAnsi"/>
        </w:rPr>
        <w:t xml:space="preserve"> </w:t>
      </w:r>
      <w:r w:rsidR="00264F2A" w:rsidRPr="00115A96">
        <w:rPr>
          <w:rFonts w:cstheme="minorHAnsi"/>
        </w:rPr>
        <w:t xml:space="preserve">We </w:t>
      </w:r>
      <w:r>
        <w:rPr>
          <w:rFonts w:cstheme="minorHAnsi"/>
        </w:rPr>
        <w:t>u</w:t>
      </w:r>
      <w:r w:rsidR="00264F2A" w:rsidRPr="00115A96">
        <w:rPr>
          <w:rFonts w:cstheme="minorHAnsi"/>
        </w:rPr>
        <w:t>se</w:t>
      </w:r>
      <w:r>
        <w:rPr>
          <w:rFonts w:cstheme="minorHAnsi"/>
        </w:rPr>
        <w:t>d</w:t>
      </w:r>
      <w:r w:rsidR="00264F2A" w:rsidRPr="00115A96">
        <w:rPr>
          <w:rFonts w:cstheme="minorHAnsi"/>
        </w:rPr>
        <w:t xml:space="preserve"> All of Us data</w:t>
      </w:r>
      <w:r w:rsidR="00F907E0" w:rsidRPr="00115A96">
        <w:rPr>
          <w:rFonts w:cstheme="minorHAnsi"/>
        </w:rPr>
        <w:t xml:space="preserve"> [</w:t>
      </w:r>
      <w:r w:rsidR="00BE3889" w:rsidRPr="00115A96">
        <w:rPr>
          <w:rStyle w:val="EndnoteReference"/>
          <w:rFonts w:cstheme="minorHAnsi"/>
        </w:rPr>
        <w:endnoteReference w:id="19"/>
      </w:r>
      <w:r w:rsidR="00F907E0" w:rsidRPr="00115A96">
        <w:rPr>
          <w:rFonts w:cstheme="minorHAnsi"/>
        </w:rPr>
        <w:t>]</w:t>
      </w:r>
      <w:r w:rsidR="00264F2A" w:rsidRPr="00115A96">
        <w:rPr>
          <w:rFonts w:cstheme="minorHAnsi"/>
        </w:rPr>
        <w:t xml:space="preserve"> to </w:t>
      </w:r>
      <w:r w:rsidR="00603B40" w:rsidRPr="00115A96">
        <w:rPr>
          <w:rFonts w:cstheme="minorHAnsi"/>
        </w:rPr>
        <w:lastRenderedPageBreak/>
        <w:t xml:space="preserve">retrospectively </w:t>
      </w:r>
      <w:r w:rsidR="00264F2A" w:rsidRPr="00115A96">
        <w:rPr>
          <w:rFonts w:cstheme="minorHAnsi"/>
        </w:rPr>
        <w:t xml:space="preserve">examine </w:t>
      </w:r>
      <w:r w:rsidR="00603B40" w:rsidRPr="00115A96">
        <w:rPr>
          <w:rFonts w:cstheme="minorHAnsi"/>
        </w:rPr>
        <w:t xml:space="preserve">if </w:t>
      </w:r>
      <w:r w:rsidR="00A77F1B">
        <w:rPr>
          <w:rFonts w:cstheme="minorHAnsi"/>
        </w:rPr>
        <w:t xml:space="preserve">African American </w:t>
      </w:r>
      <w:r w:rsidR="00603B40" w:rsidRPr="00115A96">
        <w:rPr>
          <w:rFonts w:cstheme="minorHAnsi"/>
        </w:rPr>
        <w:t xml:space="preserve">patients who took </w:t>
      </w:r>
      <w:r>
        <w:rPr>
          <w:rFonts w:cstheme="minorHAnsi"/>
        </w:rPr>
        <w:t xml:space="preserve">the AI </w:t>
      </w:r>
      <w:r w:rsidR="00603B40" w:rsidRPr="00115A96">
        <w:rPr>
          <w:rFonts w:cstheme="minorHAnsi"/>
        </w:rPr>
        <w:t xml:space="preserve">recommended medications had </w:t>
      </w:r>
      <w:r>
        <w:rPr>
          <w:rFonts w:cstheme="minorHAnsi"/>
        </w:rPr>
        <w:t>higher depression remission rates</w:t>
      </w:r>
      <w:r w:rsidR="00264F2A" w:rsidRPr="00115A96">
        <w:rPr>
          <w:rFonts w:cstheme="minorHAnsi"/>
        </w:rPr>
        <w:t>.</w:t>
      </w:r>
      <w:r w:rsidR="00115A96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5"/>
        <w:gridCol w:w="1620"/>
        <w:gridCol w:w="1865"/>
      </w:tblGrid>
      <w:tr w:rsidR="008C0E75" w:rsidRPr="00115A96" w14:paraId="76AD57E4" w14:textId="77777777" w:rsidTr="00774B83">
        <w:trPr>
          <w:jc w:val="right"/>
        </w:trPr>
        <w:tc>
          <w:tcPr>
            <w:tcW w:w="5470" w:type="dxa"/>
            <w:gridSpan w:val="3"/>
          </w:tcPr>
          <w:p w14:paraId="4A09D7EC" w14:textId="77777777" w:rsidR="008C0E75" w:rsidRPr="00115A96" w:rsidRDefault="008C0E75" w:rsidP="00774B83">
            <w:pPr>
              <w:jc w:val="center"/>
              <w:rPr>
                <w:rFonts w:cstheme="minorHAnsi"/>
                <w:b/>
                <w:bCs/>
              </w:rPr>
            </w:pPr>
            <w:r w:rsidRPr="00115A96">
              <w:rPr>
                <w:rFonts w:cstheme="minorHAnsi"/>
                <w:b/>
                <w:bCs/>
              </w:rPr>
              <w:t xml:space="preserve">Table 1: </w:t>
            </w:r>
            <w:r>
              <w:rPr>
                <w:rFonts w:cstheme="minorHAnsi"/>
                <w:b/>
                <w:bCs/>
              </w:rPr>
              <w:t>Distribution of Remission Rates</w:t>
            </w:r>
          </w:p>
        </w:tc>
      </w:tr>
      <w:tr w:rsidR="008C0E75" w:rsidRPr="00115A96" w14:paraId="6D68CED0" w14:textId="77777777" w:rsidTr="00774B83">
        <w:trPr>
          <w:jc w:val="right"/>
        </w:trPr>
        <w:tc>
          <w:tcPr>
            <w:tcW w:w="1985" w:type="dxa"/>
          </w:tcPr>
          <w:p w14:paraId="7311B9E4" w14:textId="77777777" w:rsidR="008C0E75" w:rsidRPr="00115A96" w:rsidRDefault="008C0E75" w:rsidP="00774B83">
            <w:pPr>
              <w:rPr>
                <w:rFonts w:cstheme="minorHAnsi"/>
              </w:rPr>
            </w:pPr>
          </w:p>
        </w:tc>
        <w:tc>
          <w:tcPr>
            <w:tcW w:w="3485" w:type="dxa"/>
            <w:gridSpan w:val="2"/>
          </w:tcPr>
          <w:p w14:paraId="0A15479C" w14:textId="77777777" w:rsidR="008C0E75" w:rsidRPr="0034263E" w:rsidRDefault="008C0E75" w:rsidP="00774B83">
            <w:pPr>
              <w:jc w:val="center"/>
              <w:rPr>
                <w:rFonts w:cstheme="minorHAnsi"/>
                <w:b/>
                <w:bCs/>
              </w:rPr>
            </w:pPr>
            <w:r w:rsidRPr="0034263E">
              <w:rPr>
                <w:rFonts w:cstheme="minorHAnsi"/>
                <w:b/>
                <w:bCs/>
              </w:rPr>
              <w:t>All of US Prescribed Meds</w:t>
            </w:r>
          </w:p>
        </w:tc>
      </w:tr>
      <w:tr w:rsidR="008C0E75" w:rsidRPr="00115A96" w14:paraId="0783606F" w14:textId="77777777" w:rsidTr="00774B83">
        <w:trPr>
          <w:jc w:val="right"/>
        </w:trPr>
        <w:tc>
          <w:tcPr>
            <w:tcW w:w="1985" w:type="dxa"/>
          </w:tcPr>
          <w:p w14:paraId="68D2E2AB" w14:textId="77777777" w:rsidR="008C0E75" w:rsidRPr="0034263E" w:rsidRDefault="008C0E75" w:rsidP="00774B83">
            <w:pPr>
              <w:rPr>
                <w:rFonts w:cstheme="minorHAnsi"/>
                <w:b/>
                <w:bCs/>
              </w:rPr>
            </w:pPr>
            <w:r w:rsidRPr="0034263E">
              <w:rPr>
                <w:rFonts w:cstheme="minorHAnsi"/>
                <w:b/>
                <w:bCs/>
              </w:rPr>
              <w:t>AI Optimal Meds</w:t>
            </w:r>
          </w:p>
        </w:tc>
        <w:tc>
          <w:tcPr>
            <w:tcW w:w="1620" w:type="dxa"/>
          </w:tcPr>
          <w:p w14:paraId="7D4EA38B" w14:textId="77777777" w:rsidR="008C0E75" w:rsidRPr="0034263E" w:rsidRDefault="008C0E75" w:rsidP="00774B83">
            <w:pPr>
              <w:jc w:val="center"/>
              <w:rPr>
                <w:rFonts w:cstheme="minorHAnsi"/>
                <w:b/>
                <w:bCs/>
              </w:rPr>
            </w:pPr>
            <w:r w:rsidRPr="0034263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865" w:type="dxa"/>
          </w:tcPr>
          <w:p w14:paraId="4CE4FB24" w14:textId="77777777" w:rsidR="008C0E75" w:rsidRPr="0034263E" w:rsidRDefault="008C0E75" w:rsidP="00774B83">
            <w:pPr>
              <w:jc w:val="center"/>
              <w:rPr>
                <w:rFonts w:cstheme="minorHAnsi"/>
                <w:b/>
                <w:bCs/>
              </w:rPr>
            </w:pPr>
            <w:r w:rsidRPr="0034263E">
              <w:rPr>
                <w:rFonts w:cstheme="minorHAnsi"/>
                <w:b/>
                <w:bCs/>
              </w:rPr>
              <w:t>No</w:t>
            </w:r>
          </w:p>
        </w:tc>
      </w:tr>
      <w:tr w:rsidR="008C0E75" w:rsidRPr="00115A96" w14:paraId="35A32A23" w14:textId="77777777" w:rsidTr="00774B83">
        <w:trPr>
          <w:jc w:val="right"/>
        </w:trPr>
        <w:tc>
          <w:tcPr>
            <w:tcW w:w="1985" w:type="dxa"/>
          </w:tcPr>
          <w:p w14:paraId="56173952" w14:textId="77777777" w:rsidR="008C0E75" w:rsidRPr="0034263E" w:rsidRDefault="008C0E75" w:rsidP="00774B83">
            <w:pPr>
              <w:rPr>
                <w:rFonts w:cstheme="minorHAnsi"/>
                <w:b/>
                <w:bCs/>
              </w:rPr>
            </w:pPr>
            <w:r w:rsidRPr="0034263E">
              <w:rPr>
                <w:rFonts w:cstheme="minorHAnsi"/>
                <w:b/>
                <w:bCs/>
              </w:rPr>
              <w:t>Recommended</w:t>
            </w:r>
          </w:p>
        </w:tc>
        <w:tc>
          <w:tcPr>
            <w:tcW w:w="1620" w:type="dxa"/>
          </w:tcPr>
          <w:p w14:paraId="53FEE511" w14:textId="77777777" w:rsidR="008C0E75" w:rsidRPr="00115A96" w:rsidRDefault="008C0E75" w:rsidP="00774B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(n</w:t>
            </w:r>
            <w:r w:rsidRPr="00D52F8A">
              <w:rPr>
                <w:rFonts w:cstheme="minorHAnsi"/>
                <w:vertAlign w:val="subscript"/>
              </w:rPr>
              <w:t>a</w:t>
            </w:r>
            <w:r w:rsidRPr="00D52F8A">
              <w:rPr>
                <w:rFonts w:cstheme="minorHAnsi"/>
              </w:rPr>
              <w:t>)</w:t>
            </w:r>
          </w:p>
        </w:tc>
        <w:tc>
          <w:tcPr>
            <w:tcW w:w="1865" w:type="dxa"/>
          </w:tcPr>
          <w:p w14:paraId="74A694B0" w14:textId="77777777" w:rsidR="008C0E75" w:rsidRPr="00D52F8A" w:rsidRDefault="008C0E75" w:rsidP="00774B83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(n</w:t>
            </w:r>
            <w:r>
              <w:rPr>
                <w:rFonts w:cstheme="minorHAnsi"/>
                <w:vertAlign w:val="subscript"/>
              </w:rPr>
              <w:t>b</w:t>
            </w:r>
            <w:r>
              <w:rPr>
                <w:rFonts w:cstheme="minorHAnsi"/>
              </w:rPr>
              <w:t>)</w:t>
            </w:r>
          </w:p>
        </w:tc>
      </w:tr>
      <w:tr w:rsidR="008C0E75" w:rsidRPr="00115A96" w14:paraId="1A1EE9D0" w14:textId="77777777" w:rsidTr="00774B83">
        <w:trPr>
          <w:jc w:val="right"/>
        </w:trPr>
        <w:tc>
          <w:tcPr>
            <w:tcW w:w="1985" w:type="dxa"/>
          </w:tcPr>
          <w:p w14:paraId="4F94407A" w14:textId="77777777" w:rsidR="008C0E75" w:rsidRPr="0034263E" w:rsidRDefault="008C0E75" w:rsidP="00774B83">
            <w:pPr>
              <w:rPr>
                <w:rFonts w:cstheme="minorHAnsi"/>
                <w:b/>
                <w:bCs/>
              </w:rPr>
            </w:pPr>
            <w:r w:rsidRPr="0034263E">
              <w:rPr>
                <w:rFonts w:cstheme="minorHAnsi"/>
                <w:b/>
                <w:bCs/>
              </w:rPr>
              <w:t>Not recommended</w:t>
            </w:r>
          </w:p>
        </w:tc>
        <w:tc>
          <w:tcPr>
            <w:tcW w:w="1620" w:type="dxa"/>
          </w:tcPr>
          <w:p w14:paraId="057A7844" w14:textId="77777777" w:rsidR="008C0E75" w:rsidRPr="00D52F8A" w:rsidRDefault="008C0E75" w:rsidP="00774B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 (n</w:t>
            </w:r>
            <w:r>
              <w:rPr>
                <w:rFonts w:cstheme="minorHAnsi"/>
                <w:vertAlign w:val="subscript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1865" w:type="dxa"/>
          </w:tcPr>
          <w:p w14:paraId="46648A6A" w14:textId="77777777" w:rsidR="008C0E75" w:rsidRPr="00D52F8A" w:rsidRDefault="008C0E75" w:rsidP="00774B83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(n</w:t>
            </w:r>
            <w:r>
              <w:rPr>
                <w:rFonts w:cstheme="minorHAnsi"/>
                <w:vertAlign w:val="subscript"/>
              </w:rPr>
              <w:t>d</w:t>
            </w:r>
            <w:r>
              <w:rPr>
                <w:rFonts w:cstheme="minorHAnsi"/>
              </w:rPr>
              <w:t>)</w:t>
            </w:r>
          </w:p>
        </w:tc>
      </w:tr>
      <w:tr w:rsidR="008C0E75" w:rsidRPr="00115A96" w14:paraId="5E740A5C" w14:textId="77777777" w:rsidTr="00774B83">
        <w:trPr>
          <w:jc w:val="right"/>
        </w:trPr>
        <w:tc>
          <w:tcPr>
            <w:tcW w:w="5470" w:type="dxa"/>
            <w:gridSpan w:val="3"/>
          </w:tcPr>
          <w:p w14:paraId="2EFC9A38" w14:textId="77777777" w:rsidR="008C0E75" w:rsidRPr="00D52F8A" w:rsidRDefault="008C0E75" w:rsidP="00774B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2F8A">
              <w:rPr>
                <w:rFonts w:cstheme="minorHAnsi"/>
                <w:sz w:val="18"/>
                <w:szCs w:val="18"/>
              </w:rPr>
              <w:t xml:space="preserve">a, b, c, d are </w:t>
            </w:r>
            <w:r>
              <w:rPr>
                <w:rFonts w:cstheme="minorHAnsi"/>
                <w:sz w:val="18"/>
                <w:szCs w:val="18"/>
              </w:rPr>
              <w:t xml:space="preserve">percent of patients with </w:t>
            </w:r>
            <w:r w:rsidRPr="00D52F8A">
              <w:rPr>
                <w:rFonts w:cstheme="minorHAnsi"/>
                <w:sz w:val="18"/>
                <w:szCs w:val="18"/>
              </w:rPr>
              <w:t xml:space="preserve">remission </w:t>
            </w:r>
          </w:p>
          <w:p w14:paraId="2BB51F07" w14:textId="77777777" w:rsidR="008C0E75" w:rsidRPr="00D52F8A" w:rsidRDefault="008C0E75" w:rsidP="00774B83">
            <w:pPr>
              <w:jc w:val="center"/>
              <w:rPr>
                <w:rFonts w:cstheme="minorHAnsi"/>
              </w:rPr>
            </w:pPr>
            <w:r w:rsidRPr="00D52F8A">
              <w:rPr>
                <w:rFonts w:cstheme="minorHAnsi"/>
                <w:sz w:val="18"/>
                <w:szCs w:val="18"/>
              </w:rPr>
              <w:t>(n</w:t>
            </w:r>
            <w:r w:rsidRPr="00D52F8A">
              <w:rPr>
                <w:rFonts w:cstheme="minorHAnsi"/>
                <w:sz w:val="18"/>
                <w:szCs w:val="18"/>
                <w:vertAlign w:val="subscript"/>
              </w:rPr>
              <w:t xml:space="preserve">i </w:t>
            </w:r>
            <w:r w:rsidRPr="00D52F8A">
              <w:rPr>
                <w:rFonts w:cstheme="minorHAnsi"/>
                <w:sz w:val="18"/>
                <w:szCs w:val="18"/>
              </w:rPr>
              <w:t>indicates cases used to calculate remission rates)</w:t>
            </w:r>
          </w:p>
        </w:tc>
      </w:tr>
    </w:tbl>
    <w:p w14:paraId="6F9E0E6A" w14:textId="29305B59" w:rsidR="00C23495" w:rsidRPr="00115A96" w:rsidRDefault="008C0E75" w:rsidP="008C0E75">
      <w:pPr>
        <w:spacing w:after="0" w:line="240" w:lineRule="auto"/>
        <w:ind w:firstLine="432"/>
        <w:rPr>
          <w:rFonts w:cstheme="minorHAnsi"/>
        </w:rPr>
      </w:pPr>
      <w:r>
        <w:rPr>
          <w:rFonts w:cstheme="minorHAnsi"/>
        </w:rPr>
        <w:t>From analysis of All of Us data we will have the joint distribution of AI recommendations, clinicians’ prescriptions and patient’s depression remission.  This joint distribution is shown in Table 1.</w:t>
      </w:r>
      <w:r>
        <w:rPr>
          <w:rFonts w:cstheme="minorHAnsi"/>
        </w:rPr>
        <w:t xml:space="preserve"> </w:t>
      </w:r>
      <w:r w:rsidR="00B9795F">
        <w:rPr>
          <w:rFonts w:cstheme="minorHAnsi"/>
        </w:rPr>
        <w:t>The AI recommendations are based on patient’s medical history</w:t>
      </w:r>
      <w:r>
        <w:rPr>
          <w:rFonts w:cstheme="minorHAnsi"/>
        </w:rPr>
        <w:t>,</w:t>
      </w:r>
      <w:r w:rsidR="00B9795F">
        <w:rPr>
          <w:rFonts w:cstheme="minorHAnsi"/>
        </w:rPr>
        <w:t xml:space="preserve"> which is available in All of Us data.  The clinician’s prescription is also available in All of Us data.  </w:t>
      </w:r>
      <w:r>
        <w:rPr>
          <w:rFonts w:cstheme="minorHAnsi"/>
        </w:rPr>
        <w:t>T</w:t>
      </w:r>
      <w:r w:rsidR="00B9795F">
        <w:rPr>
          <w:rFonts w:cstheme="minorHAnsi"/>
        </w:rPr>
        <w:t xml:space="preserve">he patient’s self-reported depression symptom is not available in All of Us data and this variable </w:t>
      </w:r>
      <w:r>
        <w:rPr>
          <w:rFonts w:cstheme="minorHAnsi"/>
        </w:rPr>
        <w:t>was</w:t>
      </w:r>
      <w:r w:rsidR="00B9795F">
        <w:rPr>
          <w:rFonts w:cstheme="minorHAnsi"/>
        </w:rPr>
        <w:t xml:space="preserve"> estimated from an index constructed from pre-maturely abandoning the antidepressant </w:t>
      </w:r>
      <w:r w:rsidR="00B9795F">
        <w:rPr>
          <w:rFonts w:cstheme="minorHAnsi"/>
        </w:rPr>
        <w:t>[</w:t>
      </w:r>
      <w:r w:rsidR="00B9795F">
        <w:rPr>
          <w:rStyle w:val="EndnoteReference"/>
          <w:rFonts w:cstheme="minorHAnsi"/>
        </w:rPr>
        <w:endnoteReference w:id="20"/>
      </w:r>
      <w:r w:rsidR="00B9795F">
        <w:rPr>
          <w:rFonts w:cstheme="minorHAnsi"/>
        </w:rPr>
        <w:t>]</w:t>
      </w:r>
      <w:r w:rsidR="00B9795F">
        <w:rPr>
          <w:rFonts w:cstheme="minorHAnsi"/>
        </w:rPr>
        <w:t xml:space="preserve">.  </w:t>
      </w:r>
      <w:r w:rsidR="000E0A58">
        <w:rPr>
          <w:rFonts w:cstheme="minorHAnsi"/>
        </w:rPr>
        <w:t xml:space="preserve">This method of retrospective analysis is preferred to random prospective trial because it is more pragmatic. It allows patients with diverse medical history to </w:t>
      </w:r>
      <w:r>
        <w:rPr>
          <w:rFonts w:cstheme="minorHAnsi"/>
        </w:rPr>
        <w:t xml:space="preserve">be included </w:t>
      </w:r>
      <w:r w:rsidR="000E0A58">
        <w:rPr>
          <w:rFonts w:cstheme="minorHAnsi"/>
        </w:rPr>
        <w:t>in the study.</w:t>
      </w:r>
      <w:r w:rsidR="000F597E" w:rsidRPr="00115A96">
        <w:rPr>
          <w:rFonts w:cstheme="minorHAnsi"/>
        </w:rPr>
        <w:t xml:space="preserve"> </w:t>
      </w:r>
      <w:r w:rsidR="000E0A58">
        <w:rPr>
          <w:rFonts w:cstheme="minorHAnsi"/>
        </w:rPr>
        <w:t xml:space="preserve">In </w:t>
      </w:r>
      <w:r w:rsidR="00151561">
        <w:rPr>
          <w:rFonts w:cstheme="minorHAnsi"/>
        </w:rPr>
        <w:t xml:space="preserve">prospective randomized </w:t>
      </w:r>
      <w:r w:rsidR="0034263E">
        <w:rPr>
          <w:rFonts w:cstheme="minorHAnsi"/>
        </w:rPr>
        <w:t>studies</w:t>
      </w:r>
      <w:r w:rsidR="000E0A58">
        <w:rPr>
          <w:rFonts w:cstheme="minorHAnsi"/>
        </w:rPr>
        <w:t>, patients are restricted to specific medical histories</w:t>
      </w:r>
      <w:r w:rsidR="0034263E">
        <w:rPr>
          <w:rFonts w:cstheme="minorHAnsi"/>
        </w:rPr>
        <w:t xml:space="preserve"> and the findings are</w:t>
      </w:r>
      <w:r w:rsidR="000E0A58">
        <w:rPr>
          <w:rFonts w:cstheme="minorHAnsi"/>
        </w:rPr>
        <w:t xml:space="preserve"> not relevant for patients with </w:t>
      </w:r>
      <w:r w:rsidR="0034263E">
        <w:rPr>
          <w:rFonts w:cstheme="minorHAnsi"/>
        </w:rPr>
        <w:t xml:space="preserve">a variety of medical </w:t>
      </w:r>
      <w:r w:rsidR="000E0A58">
        <w:rPr>
          <w:rFonts w:cstheme="minorHAnsi"/>
        </w:rPr>
        <w:t>histories</w:t>
      </w:r>
      <w:r w:rsidR="0034263E">
        <w:rPr>
          <w:rFonts w:cstheme="minorHAnsi"/>
        </w:rPr>
        <w:t>.</w:t>
      </w:r>
      <w:r w:rsidR="000E0A58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970"/>
        <w:gridCol w:w="1170"/>
        <w:gridCol w:w="1515"/>
      </w:tblGrid>
      <w:tr w:rsidR="00C23495" w:rsidRPr="00115A96" w14:paraId="63A85840" w14:textId="77777777" w:rsidTr="00C23495">
        <w:trPr>
          <w:jc w:val="right"/>
        </w:trPr>
        <w:tc>
          <w:tcPr>
            <w:tcW w:w="5655" w:type="dxa"/>
            <w:gridSpan w:val="3"/>
          </w:tcPr>
          <w:p w14:paraId="75A2050A" w14:textId="0142C14C" w:rsidR="00C23495" w:rsidRPr="00115A96" w:rsidRDefault="00C23495" w:rsidP="00333705">
            <w:pPr>
              <w:jc w:val="center"/>
              <w:rPr>
                <w:rFonts w:cstheme="minorHAnsi"/>
                <w:b/>
                <w:bCs/>
              </w:rPr>
            </w:pPr>
            <w:r w:rsidRPr="00115A96">
              <w:rPr>
                <w:rFonts w:cstheme="minorHAnsi"/>
                <w:b/>
                <w:bCs/>
              </w:rPr>
              <w:t xml:space="preserve">Table </w:t>
            </w:r>
            <w:r w:rsidR="00AA4D37" w:rsidRPr="00115A96">
              <w:rPr>
                <w:rFonts w:cstheme="minorHAnsi"/>
                <w:b/>
                <w:bCs/>
              </w:rPr>
              <w:t>2</w:t>
            </w:r>
            <w:r w:rsidRPr="00115A96">
              <w:rPr>
                <w:rFonts w:cstheme="minorHAnsi"/>
                <w:b/>
                <w:bCs/>
              </w:rPr>
              <w:t>: Accuracy of Recommendations</w:t>
            </w:r>
          </w:p>
        </w:tc>
      </w:tr>
      <w:tr w:rsidR="00C23495" w:rsidRPr="00115A96" w14:paraId="130FD7A3" w14:textId="77777777" w:rsidTr="00C23495">
        <w:trPr>
          <w:trHeight w:val="164"/>
          <w:jc w:val="right"/>
        </w:trPr>
        <w:tc>
          <w:tcPr>
            <w:tcW w:w="2970" w:type="dxa"/>
          </w:tcPr>
          <w:p w14:paraId="4C4E86C3" w14:textId="77777777" w:rsidR="00C23495" w:rsidRPr="00115A96" w:rsidRDefault="00C23495" w:rsidP="00333705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D9D57EE" w14:textId="77777777" w:rsidR="00C23495" w:rsidRPr="00115A96" w:rsidRDefault="00C23495" w:rsidP="00333705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 xml:space="preserve">Remission </w:t>
            </w:r>
          </w:p>
        </w:tc>
        <w:tc>
          <w:tcPr>
            <w:tcW w:w="1515" w:type="dxa"/>
          </w:tcPr>
          <w:p w14:paraId="7B94B5D0" w14:textId="639217CA" w:rsidR="00C23495" w:rsidRPr="00115A96" w:rsidRDefault="00C23495" w:rsidP="00333705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>No Remission</w:t>
            </w:r>
          </w:p>
        </w:tc>
      </w:tr>
      <w:tr w:rsidR="00C23495" w:rsidRPr="00115A96" w14:paraId="293688DC" w14:textId="77777777" w:rsidTr="00C23495">
        <w:trPr>
          <w:jc w:val="right"/>
        </w:trPr>
        <w:tc>
          <w:tcPr>
            <w:tcW w:w="2970" w:type="dxa"/>
          </w:tcPr>
          <w:p w14:paraId="61D0516B" w14:textId="61E52BEB" w:rsidR="00C23495" w:rsidRPr="00115A96" w:rsidRDefault="00C23495" w:rsidP="00333705">
            <w:pPr>
              <w:rPr>
                <w:rFonts w:cstheme="minorHAnsi"/>
              </w:rPr>
            </w:pPr>
            <w:r w:rsidRPr="00115A96">
              <w:rPr>
                <w:rFonts w:cstheme="minorHAnsi"/>
              </w:rPr>
              <w:t>Treated as Recommended</w:t>
            </w:r>
          </w:p>
        </w:tc>
        <w:tc>
          <w:tcPr>
            <w:tcW w:w="1170" w:type="dxa"/>
          </w:tcPr>
          <w:p w14:paraId="0FD06179" w14:textId="4B907774" w:rsidR="00C23495" w:rsidRPr="00115A96" w:rsidRDefault="00C23495" w:rsidP="00333705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>a</w:t>
            </w:r>
          </w:p>
        </w:tc>
        <w:tc>
          <w:tcPr>
            <w:tcW w:w="1515" w:type="dxa"/>
          </w:tcPr>
          <w:p w14:paraId="48380C23" w14:textId="7856A15A" w:rsidR="00C23495" w:rsidRPr="00115A96" w:rsidRDefault="00AA4D37" w:rsidP="00333705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>b</w:t>
            </w:r>
          </w:p>
        </w:tc>
      </w:tr>
      <w:tr w:rsidR="00C23495" w:rsidRPr="00115A96" w14:paraId="5BB295A0" w14:textId="77777777" w:rsidTr="00C23495">
        <w:trPr>
          <w:jc w:val="right"/>
        </w:trPr>
        <w:tc>
          <w:tcPr>
            <w:tcW w:w="2970" w:type="dxa"/>
          </w:tcPr>
          <w:p w14:paraId="2C2D3A36" w14:textId="728BD5AB" w:rsidR="00C23495" w:rsidRPr="00115A96" w:rsidRDefault="00C23495" w:rsidP="00333705">
            <w:pPr>
              <w:rPr>
                <w:rFonts w:cstheme="minorHAnsi"/>
              </w:rPr>
            </w:pPr>
            <w:r w:rsidRPr="00115A96">
              <w:rPr>
                <w:rFonts w:cstheme="minorHAnsi"/>
              </w:rPr>
              <w:t>Not Treated as Recommended</w:t>
            </w:r>
          </w:p>
        </w:tc>
        <w:tc>
          <w:tcPr>
            <w:tcW w:w="1170" w:type="dxa"/>
          </w:tcPr>
          <w:p w14:paraId="5E1EFEBC" w14:textId="74987A9E" w:rsidR="00C23495" w:rsidRPr="00115A96" w:rsidRDefault="00AA4D37" w:rsidP="00333705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>c</w:t>
            </w:r>
          </w:p>
        </w:tc>
        <w:tc>
          <w:tcPr>
            <w:tcW w:w="1515" w:type="dxa"/>
          </w:tcPr>
          <w:p w14:paraId="661F5952" w14:textId="3268B605" w:rsidR="00C23495" w:rsidRPr="00115A96" w:rsidRDefault="00115A96" w:rsidP="003337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23495" w:rsidRPr="00115A96" w14:paraId="4D572504" w14:textId="77777777" w:rsidTr="00C23495">
        <w:trPr>
          <w:jc w:val="right"/>
        </w:trPr>
        <w:tc>
          <w:tcPr>
            <w:tcW w:w="2970" w:type="dxa"/>
          </w:tcPr>
          <w:p w14:paraId="6D22F81C" w14:textId="34E69E56" w:rsidR="00C23495" w:rsidRPr="00115A96" w:rsidRDefault="00C23495" w:rsidP="00333705">
            <w:pPr>
              <w:rPr>
                <w:rFonts w:cstheme="minorHAnsi"/>
              </w:rPr>
            </w:pPr>
            <w:r w:rsidRPr="00115A96">
              <w:rPr>
                <w:rFonts w:cstheme="minorHAnsi"/>
              </w:rPr>
              <w:t>If Treated as Recommended</w:t>
            </w:r>
          </w:p>
        </w:tc>
        <w:tc>
          <w:tcPr>
            <w:tcW w:w="1170" w:type="dxa"/>
          </w:tcPr>
          <w:p w14:paraId="719533F8" w14:textId="0AC1461F" w:rsidR="00C23495" w:rsidRPr="00115A96" w:rsidRDefault="00AA4D37" w:rsidP="00333705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>e</w:t>
            </w:r>
          </w:p>
        </w:tc>
        <w:tc>
          <w:tcPr>
            <w:tcW w:w="1515" w:type="dxa"/>
          </w:tcPr>
          <w:p w14:paraId="03F79D38" w14:textId="6263D644" w:rsidR="00C23495" w:rsidRPr="00115A96" w:rsidRDefault="00AA4D37" w:rsidP="00333705">
            <w:pPr>
              <w:jc w:val="center"/>
              <w:rPr>
                <w:rFonts w:cstheme="minorHAnsi"/>
              </w:rPr>
            </w:pPr>
            <w:r w:rsidRPr="00115A96">
              <w:rPr>
                <w:rFonts w:cstheme="minorHAnsi"/>
              </w:rPr>
              <w:t>f</w:t>
            </w:r>
          </w:p>
        </w:tc>
      </w:tr>
    </w:tbl>
    <w:p w14:paraId="59648438" w14:textId="12539EE6" w:rsidR="00AA4D37" w:rsidRDefault="008C0E75" w:rsidP="00AA4D37">
      <w:pPr>
        <w:spacing w:after="0" w:line="240" w:lineRule="auto"/>
        <w:ind w:firstLine="432"/>
        <w:rPr>
          <w:rFonts w:cstheme="minorHAnsi"/>
        </w:rPr>
      </w:pPr>
      <w:r>
        <w:rPr>
          <w:rFonts w:cstheme="minorHAnsi"/>
        </w:rPr>
        <w:t xml:space="preserve">Table 2 shows the planned analysis. </w:t>
      </w:r>
      <w:r w:rsidR="00D52F8A">
        <w:rPr>
          <w:rFonts w:cstheme="minorHAnsi"/>
        </w:rPr>
        <w:t xml:space="preserve">The analysis </w:t>
      </w:r>
      <w:r w:rsidR="00D52F8A">
        <w:rPr>
          <w:rFonts w:cstheme="minorHAnsi"/>
        </w:rPr>
        <w:t>report</w:t>
      </w:r>
      <w:r>
        <w:rPr>
          <w:rFonts w:cstheme="minorHAnsi"/>
        </w:rPr>
        <w:t>s</w:t>
      </w:r>
      <w:r w:rsidR="00D52F8A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D52F8A">
        <w:rPr>
          <w:rFonts w:cstheme="minorHAnsi"/>
        </w:rPr>
        <w:t xml:space="preserve">effect of treating as recommended by AI and </w:t>
      </w:r>
      <w:r>
        <w:rPr>
          <w:rFonts w:cstheme="minorHAnsi"/>
        </w:rPr>
        <w:t xml:space="preserve">the effect of </w:t>
      </w:r>
      <w:r w:rsidR="00D52F8A">
        <w:rPr>
          <w:rFonts w:cstheme="minorHAnsi"/>
        </w:rPr>
        <w:t xml:space="preserve">not doing so.  We report what would have happened if the patient was </w:t>
      </w:r>
      <w:r>
        <w:rPr>
          <w:rFonts w:cstheme="minorHAnsi"/>
        </w:rPr>
        <w:t xml:space="preserve">not </w:t>
      </w:r>
      <w:r w:rsidR="00D52F8A">
        <w:rPr>
          <w:rFonts w:cstheme="minorHAnsi"/>
        </w:rPr>
        <w:t xml:space="preserve">treated as recommended, which is a counterfactual estimate.  </w:t>
      </w:r>
      <w:r w:rsidR="00182064" w:rsidRPr="00115A96">
        <w:rPr>
          <w:rFonts w:cstheme="minorHAnsi"/>
        </w:rPr>
        <w:t>These methods of evaluation are preferred to random trials that compare two populations</w:t>
      </w:r>
      <w:r w:rsidR="0076429F" w:rsidRPr="00115A96">
        <w:rPr>
          <w:rFonts w:cstheme="minorHAnsi"/>
        </w:rPr>
        <w:t xml:space="preserve"> of patients</w:t>
      </w:r>
      <w:r w:rsidR="00182064" w:rsidRPr="00115A96">
        <w:rPr>
          <w:rFonts w:cstheme="minorHAnsi"/>
        </w:rPr>
        <w:t>, without subjects serving as their own controls</w:t>
      </w:r>
      <w:r w:rsidR="004F14C7">
        <w:rPr>
          <w:rFonts w:cstheme="minorHAnsi"/>
        </w:rPr>
        <w:t>. C</w:t>
      </w:r>
      <w:r w:rsidR="00CA6CE2" w:rsidRPr="00115A96">
        <w:rPr>
          <w:rFonts w:cstheme="minorHAnsi"/>
        </w:rPr>
        <w:t xml:space="preserve">ells </w:t>
      </w:r>
      <w:r w:rsidR="00AA4D37" w:rsidRPr="00115A96">
        <w:rPr>
          <w:rFonts w:cstheme="minorHAnsi"/>
        </w:rPr>
        <w:t>e</w:t>
      </w:r>
      <w:r w:rsidR="00CA6CE2" w:rsidRPr="00115A96">
        <w:rPr>
          <w:rFonts w:cstheme="minorHAnsi"/>
        </w:rPr>
        <w:t xml:space="preserve"> and </w:t>
      </w:r>
      <w:r w:rsidR="00AA4D37" w:rsidRPr="00115A96">
        <w:rPr>
          <w:rFonts w:cstheme="minorHAnsi"/>
        </w:rPr>
        <w:t>f</w:t>
      </w:r>
      <w:r w:rsidR="004F14C7">
        <w:rPr>
          <w:rFonts w:cstheme="minorHAnsi"/>
        </w:rPr>
        <w:t>,</w:t>
      </w:r>
      <w:r w:rsidR="00CA6CE2" w:rsidRPr="00115A96">
        <w:rPr>
          <w:rFonts w:cstheme="minorHAnsi"/>
        </w:rPr>
        <w:t xml:space="preserve"> in Table </w:t>
      </w:r>
      <w:r w:rsidR="00AA4D37" w:rsidRPr="00115A96">
        <w:rPr>
          <w:rFonts w:cstheme="minorHAnsi"/>
        </w:rPr>
        <w:t>2</w:t>
      </w:r>
      <w:r w:rsidR="00CA6CE2" w:rsidRPr="00115A96">
        <w:rPr>
          <w:rFonts w:cstheme="minorHAnsi"/>
        </w:rPr>
        <w:t xml:space="preserve">, </w:t>
      </w:r>
      <w:r w:rsidR="004F14C7">
        <w:rPr>
          <w:rFonts w:cstheme="minorHAnsi"/>
        </w:rPr>
        <w:t xml:space="preserve">show </w:t>
      </w:r>
      <w:r>
        <w:rPr>
          <w:rFonts w:cstheme="minorHAnsi"/>
        </w:rPr>
        <w:t xml:space="preserve">the </w:t>
      </w:r>
      <w:r w:rsidR="004F14C7">
        <w:rPr>
          <w:rFonts w:cstheme="minorHAnsi"/>
        </w:rPr>
        <w:t>counterfactual situations</w:t>
      </w:r>
      <w:r w:rsidR="006E599F" w:rsidRPr="00115A96">
        <w:rPr>
          <w:rFonts w:cstheme="minorHAnsi"/>
        </w:rPr>
        <w:t>.</w:t>
      </w:r>
      <w:r w:rsidR="00CA6CE2" w:rsidRPr="00115A96">
        <w:rPr>
          <w:rFonts w:cstheme="minorHAnsi"/>
        </w:rPr>
        <w:t xml:space="preserve"> </w:t>
      </w:r>
      <w:r w:rsidR="00AA4D37" w:rsidRPr="00115A96">
        <w:rPr>
          <w:rFonts w:cstheme="minorHAnsi"/>
        </w:rPr>
        <w:t xml:space="preserve">The calculation of counterfactuals is done </w:t>
      </w:r>
      <w:r w:rsidR="004F14C7">
        <w:rPr>
          <w:rFonts w:cstheme="minorHAnsi"/>
        </w:rPr>
        <w:t>by stratifying on the clinicians’ prescription rates and examining the independent impact of AI recommendation on remission rates</w:t>
      </w:r>
      <w:r w:rsidR="00AA4D37" w:rsidRPr="00115A96">
        <w:rPr>
          <w:rFonts w:cstheme="minorHAnsi"/>
        </w:rPr>
        <w:t xml:space="preserve"> [</w:t>
      </w:r>
      <w:r w:rsidR="00115A96" w:rsidRPr="00115A96">
        <w:rPr>
          <w:rStyle w:val="EndnoteReference"/>
          <w:rFonts w:cstheme="minorHAnsi"/>
        </w:rPr>
        <w:endnoteReference w:id="21"/>
      </w:r>
      <w:r w:rsidR="00AA4D37" w:rsidRPr="00115A96">
        <w:rPr>
          <w:rFonts w:cstheme="minorHAnsi"/>
        </w:rPr>
        <w:t xml:space="preserve">]. </w:t>
      </w:r>
    </w:p>
    <w:p w14:paraId="1B654508" w14:textId="77777777" w:rsidR="004F14C7" w:rsidRPr="00115A96" w:rsidRDefault="004F14C7" w:rsidP="00AA4D37">
      <w:pPr>
        <w:spacing w:after="0" w:line="240" w:lineRule="auto"/>
        <w:ind w:firstLine="432"/>
        <w:rPr>
          <w:rFonts w:cstheme="minorHAnsi"/>
        </w:rPr>
      </w:pPr>
    </w:p>
    <w:p w14:paraId="2FBC9A3A" w14:textId="71757E2E" w:rsidR="004F14C7" w:rsidRDefault="004F14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Results</w:t>
      </w:r>
    </w:p>
    <w:p w14:paraId="7DAEA843" w14:textId="77777777" w:rsidR="008C0E75" w:rsidRDefault="004F14C7">
      <w:pPr>
        <w:rPr>
          <w:rFonts w:cstheme="minorHAnsi"/>
        </w:rPr>
      </w:pPr>
      <w:r w:rsidRPr="00B9795F">
        <w:rPr>
          <w:rFonts w:cstheme="minorHAnsi"/>
        </w:rPr>
        <w:t>T</w:t>
      </w:r>
      <w:r w:rsidR="00B9795F">
        <w:rPr>
          <w:rFonts w:cstheme="minorHAnsi"/>
        </w:rPr>
        <w:t xml:space="preserve">able 3 describes the demographic of the population we examined in All of Us. </w:t>
      </w:r>
    </w:p>
    <w:p w14:paraId="4376A61E" w14:textId="2D03966D" w:rsidR="004F14C7" w:rsidRDefault="00B9795F">
      <w:pPr>
        <w:rPr>
          <w:rFonts w:cstheme="minorHAnsi"/>
        </w:rPr>
      </w:pPr>
      <w:r>
        <w:rPr>
          <w:rFonts w:cstheme="minorHAnsi"/>
        </w:rPr>
        <w:t>Additional details to be added.</w:t>
      </w:r>
    </w:p>
    <w:p w14:paraId="1522511B" w14:textId="11D760AC" w:rsidR="00B9795F" w:rsidRDefault="00B9795F">
      <w:pPr>
        <w:rPr>
          <w:rFonts w:cstheme="minorHAnsi"/>
          <w:b/>
          <w:bCs/>
        </w:rPr>
      </w:pPr>
      <w:r w:rsidRPr="00B9795F">
        <w:rPr>
          <w:rFonts w:cstheme="minorHAnsi"/>
          <w:b/>
          <w:bCs/>
        </w:rPr>
        <w:t xml:space="preserve">Discussion </w:t>
      </w:r>
    </w:p>
    <w:p w14:paraId="514D0D5A" w14:textId="77777777" w:rsidR="008C0E75" w:rsidRDefault="008C0E75" w:rsidP="008C0E75">
      <w:pPr>
        <w:rPr>
          <w:rFonts w:cstheme="minorHAnsi"/>
        </w:rPr>
      </w:pPr>
      <w:r>
        <w:rPr>
          <w:rFonts w:cstheme="minorHAnsi"/>
        </w:rPr>
        <w:t>Additional details to be added.</w:t>
      </w:r>
    </w:p>
    <w:p w14:paraId="37C13D00" w14:textId="03F02B5F" w:rsidR="004E69DB" w:rsidRPr="00115A96" w:rsidRDefault="00F308B2">
      <w:pPr>
        <w:rPr>
          <w:rFonts w:cstheme="minorHAnsi"/>
          <w:b/>
          <w:bCs/>
        </w:rPr>
      </w:pPr>
      <w:r w:rsidRPr="00115A96">
        <w:rPr>
          <w:rFonts w:cstheme="minorHAnsi"/>
          <w:b/>
          <w:bCs/>
        </w:rPr>
        <w:t>References</w:t>
      </w:r>
    </w:p>
    <w:sectPr w:rsidR="004E69DB" w:rsidRPr="00115A9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3607" w14:textId="77777777" w:rsidR="00EF09C5" w:rsidRDefault="00EF09C5" w:rsidP="005679D3">
      <w:pPr>
        <w:spacing w:after="0" w:line="240" w:lineRule="auto"/>
      </w:pPr>
      <w:r>
        <w:separator/>
      </w:r>
    </w:p>
  </w:endnote>
  <w:endnote w:type="continuationSeparator" w:id="0">
    <w:p w14:paraId="304083C2" w14:textId="77777777" w:rsidR="00EF09C5" w:rsidRDefault="00EF09C5" w:rsidP="005679D3">
      <w:pPr>
        <w:spacing w:after="0" w:line="240" w:lineRule="auto"/>
      </w:pPr>
      <w:r>
        <w:continuationSeparator/>
      </w:r>
    </w:p>
  </w:endnote>
  <w:endnote w:id="1">
    <w:p w14:paraId="52C8D643" w14:textId="46F42497" w:rsidR="005679D3" w:rsidRPr="00BE3889" w:rsidRDefault="005679D3" w:rsidP="00F907E0">
      <w:pPr>
        <w:pStyle w:val="EndnoteText"/>
        <w:ind w:left="432" w:hanging="432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907E0">
        <w:rPr>
          <w:sz w:val="22"/>
          <w:szCs w:val="22"/>
        </w:rPr>
        <w:t>Daly M, Sutin AR, Robinson E. Depression reported by U</w:t>
      </w:r>
      <w:r w:rsidRPr="00BE3889">
        <w:rPr>
          <w:sz w:val="22"/>
          <w:szCs w:val="22"/>
        </w:rPr>
        <w:t>S adults in 2017-2018 and March and April 2020. J Affect Disord. 2021 Jan 1;278:131-135.</w:t>
      </w:r>
    </w:p>
  </w:endnote>
  <w:endnote w:id="2">
    <w:p w14:paraId="4ABECAB1" w14:textId="680F5FB3" w:rsidR="00EA3D6C" w:rsidRPr="00BE3889" w:rsidRDefault="00EA3D6C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</w:r>
      <w:hyperlink r:id="rId1" w:history="1">
        <w:r w:rsidRPr="00BE3889">
          <w:rPr>
            <w:rStyle w:val="Hyperlink"/>
            <w:sz w:val="22"/>
            <w:szCs w:val="22"/>
          </w:rPr>
          <w:t>https://www.nami.org/NAMI/media/NAMI-Media/Infographics/NAMI_2020MH_ByTheNumbers_Adults-r.pdf</w:t>
        </w:r>
      </w:hyperlink>
      <w:r w:rsidRPr="00BE3889">
        <w:rPr>
          <w:sz w:val="22"/>
          <w:szCs w:val="22"/>
        </w:rPr>
        <w:t xml:space="preserve"> Retrieved on 1/8/2023</w:t>
      </w:r>
    </w:p>
  </w:endnote>
  <w:endnote w:id="3">
    <w:p w14:paraId="250FF1FB" w14:textId="77777777" w:rsidR="00456B10" w:rsidRPr="00BE3889" w:rsidRDefault="00456B10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Alemi F, Min H, Yousefi M, Becker LK, Hane CA, Nori VS, Wojtusiak J. Effectiveness of common antidepressants: a post market release study. EClinicalMedicine. 2021 Oct 25;41:101171. doi: 10.1016/j.eclinm.2021.101171. PMID: 34877511; PMCID: PMC8633963.</w:t>
      </w:r>
    </w:p>
  </w:endnote>
  <w:endnote w:id="4">
    <w:p w14:paraId="6FC2F2A3" w14:textId="77777777" w:rsidR="00456B10" w:rsidRPr="00BE3889" w:rsidRDefault="00456B10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Wright JH, Mishkind M, Eells TD, Chan SR. Computer-Assisted Cognitive-Behavior Therapy and Mobile Apps for Depression and Anxiety. Curr Psychiatry Rep. 2019 Jun 27;21(7):62. doi: 10.1007/s11920-019-1031-2. PMID: 31250242.</w:t>
      </w:r>
    </w:p>
  </w:endnote>
  <w:endnote w:id="5">
    <w:p w14:paraId="3E6D47E4" w14:textId="0895D7B7" w:rsidR="009176A3" w:rsidRPr="00BE3889" w:rsidRDefault="009176A3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Dobkin RD, Mann SL, Gara MA, Interian A, Rodriguez KM, Menza M. Telephone-based cognitive behavioral therapy for depression in Parkinson disease: A randomized controlled trial. Neurology. 2020 Apr 21;94(16):e1764-e1773. doi: 10.1212/WNL.0000000000009292. Epub 2020 Apr 1. PMID: 32238507; PMCID: PMC7282876.</w:t>
      </w:r>
    </w:p>
  </w:endnote>
  <w:endnote w:id="6">
    <w:p w14:paraId="24E349DB" w14:textId="77777777" w:rsidR="00456B10" w:rsidRPr="00BE3889" w:rsidRDefault="00456B10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DiPietro J, Kelemen A, Liang Y, Sik-Lanyi C. Computer- and Robot-Assisted Therapies to Aid Social and Intellectual Functioning of Children with Autism Spectrum Disorder. Medicina (Kaunas). 2019 Aug 5;55(8):440. doi: 10.3390/medicina55080440. PMID: 31387274; PMCID: PMC6724404.</w:t>
      </w:r>
    </w:p>
  </w:endnote>
  <w:endnote w:id="7">
    <w:p w14:paraId="354F28B3" w14:textId="4AFFE8CD" w:rsidR="009176A3" w:rsidRPr="00BE3889" w:rsidRDefault="009176A3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Sun Y, Li Y, Wang J, Chen Q, Bazzano AN, Cao F. Effectiveness of Smartphone-Based Mindfulness Training on Maternal Perinatal Depression: Randomized Controlled Trial. J Med Internet Res. 2021 Jan 27;23(1):e23410. doi: 10.2196/23410. PMID: 33502326; PMCID: PMC7875700.</w:t>
      </w:r>
    </w:p>
  </w:endnote>
  <w:endnote w:id="8">
    <w:p w14:paraId="3E952D1A" w14:textId="77777777" w:rsidR="00456B10" w:rsidRPr="00BE3889" w:rsidRDefault="00456B10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Opoku Asare K, Terhorst Y, Vega J, Peltonen E, Lagerspetz E, Ferreira D. Predicting Depression From Smartphone Behavioral Markers Using Machine Learning Methods, Hyperparameter Optimization, and Feature Importance Analysis: Exploratory Study. JMIR Mhealth Uhealth. 2021 Jul 12;9(7):e26540. doi: 10.2196/26540. PMID: 34255713; PMCID: PMC8314163.</w:t>
      </w:r>
    </w:p>
  </w:endnote>
  <w:endnote w:id="9">
    <w:p w14:paraId="7EF48111" w14:textId="6025EFD0" w:rsidR="00322845" w:rsidRPr="00BE3889" w:rsidRDefault="00322845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 xml:space="preserve">Substance Abuse and Mental Health Services Administration. (2021). Key substance use and mental health indicators in the United States: Results from the 2020 National Survey on Drug Use and Health (HHS Publication No. PEP21-07-01-003, NSDUH Series H-56). Rockville, MD: Center for Behavioral Health Statistics and Quality, Substance Abuse and Mental Health Services Administration. Retrieved from </w:t>
      </w:r>
      <w:hyperlink r:id="rId2" w:history="1">
        <w:r w:rsidRPr="00BE3889">
          <w:rPr>
            <w:rStyle w:val="Hyperlink"/>
            <w:sz w:val="22"/>
            <w:szCs w:val="22"/>
          </w:rPr>
          <w:t>https://www.samhsa.gov/data/</w:t>
        </w:r>
      </w:hyperlink>
      <w:r w:rsidRPr="00BE3889">
        <w:rPr>
          <w:sz w:val="22"/>
          <w:szCs w:val="22"/>
        </w:rPr>
        <w:t xml:space="preserve"> </w:t>
      </w:r>
    </w:p>
  </w:endnote>
  <w:endnote w:id="10">
    <w:p w14:paraId="396D632C" w14:textId="79517DC7" w:rsidR="00EA3D6C" w:rsidRPr="00BE3889" w:rsidRDefault="00EA3D6C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</w:r>
      <w:r w:rsidR="00F308B2" w:rsidRPr="00BE3889">
        <w:rPr>
          <w:sz w:val="22"/>
          <w:szCs w:val="22"/>
        </w:rPr>
        <w:t xml:space="preserve">Howarth J. </w:t>
      </w:r>
      <w:r w:rsidR="00241107" w:rsidRPr="00BE3889">
        <w:rPr>
          <w:sz w:val="22"/>
          <w:szCs w:val="22"/>
        </w:rPr>
        <w:t>20 Growing Mental Health Startups In 2023</w:t>
      </w:r>
      <w:r w:rsidR="00F308B2" w:rsidRPr="00BE3889">
        <w:rPr>
          <w:sz w:val="22"/>
          <w:szCs w:val="22"/>
        </w:rPr>
        <w:t xml:space="preserve">. </w:t>
      </w:r>
      <w:hyperlink r:id="rId3" w:history="1">
        <w:r w:rsidR="00F308B2" w:rsidRPr="00BE3889">
          <w:rPr>
            <w:rStyle w:val="Hyperlink"/>
            <w:sz w:val="22"/>
            <w:szCs w:val="22"/>
          </w:rPr>
          <w:t>https://explodingtopics.com/blog/mental-health-startups</w:t>
        </w:r>
      </w:hyperlink>
      <w:r w:rsidR="00F308B2" w:rsidRPr="00BE3889">
        <w:rPr>
          <w:sz w:val="22"/>
          <w:szCs w:val="22"/>
        </w:rPr>
        <w:t xml:space="preserve">, </w:t>
      </w:r>
      <w:r w:rsidR="00241107" w:rsidRPr="00BE3889">
        <w:rPr>
          <w:sz w:val="22"/>
          <w:szCs w:val="22"/>
        </w:rPr>
        <w:t>December 19, 2022</w:t>
      </w:r>
    </w:p>
  </w:endnote>
  <w:endnote w:id="11">
    <w:p w14:paraId="44F0B38A" w14:textId="6EE045F7" w:rsidR="00241107" w:rsidRPr="00BE3889" w:rsidRDefault="00241107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Economides M, Ranta K, Nazander A, Hilgert O, Goldin PR, Raevuori A, Forman-Hoffman V</w:t>
      </w:r>
      <w:r w:rsidR="00F907E0" w:rsidRPr="00BE3889">
        <w:rPr>
          <w:sz w:val="22"/>
          <w:szCs w:val="22"/>
        </w:rPr>
        <w:t xml:space="preserve">. </w:t>
      </w:r>
      <w:r w:rsidRPr="00BE3889">
        <w:rPr>
          <w:sz w:val="22"/>
          <w:szCs w:val="22"/>
        </w:rPr>
        <w:t>Long-Term Outcomes of a Therapist-Supported, Smartphone-Based Intervention for Elevated Symptoms of Depression and Anxiety: Quasi</w:t>
      </w:r>
      <w:r w:rsidR="00246728" w:rsidRPr="00BE3889">
        <w:rPr>
          <w:sz w:val="22"/>
          <w:szCs w:val="22"/>
        </w:rPr>
        <w:t>-</w:t>
      </w:r>
      <w:r w:rsidRPr="00BE3889">
        <w:rPr>
          <w:sz w:val="22"/>
          <w:szCs w:val="22"/>
        </w:rPr>
        <w:t>experimental, Pre-Postintervention Study</w:t>
      </w:r>
      <w:r w:rsidR="00246728"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>JMIR Mhealth Uhealth 2019;7(8):e1428</w:t>
      </w:r>
    </w:p>
  </w:endnote>
  <w:endnote w:id="12">
    <w:p w14:paraId="7579310E" w14:textId="77777777" w:rsidR="00F907E0" w:rsidRPr="00BE3889" w:rsidRDefault="00F907E0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Murphy E, Hou L, Maher BS, Woldehawariat G, Kassem L, Akula N, Laje G, McMahon FJ. Race, genetic ancestry and response to antidepressant treatment for major depression. Neuropsychopharmacology. 2013 Dec;38(13):2598-606. doi: 10.1038/npp.2013.166. Epub 2013 Jul 5. PMID: 23827886; PMCID: PMC3828530.</w:t>
      </w:r>
    </w:p>
  </w:endnote>
  <w:endnote w:id="13">
    <w:p w14:paraId="455BE218" w14:textId="77777777" w:rsidR="00F907E0" w:rsidRPr="00BE3889" w:rsidRDefault="00F907E0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Ioannidis JP. Effectiveness of antidepressants: an evidence myth constructed from a thousand randomized trials? Philos Ethics Humanit Med. 2008 May 27;3:14. doi: 10.1186/1747-5341-3-14. PMID: 18505564; PMCID: PMC2412901.</w:t>
      </w:r>
    </w:p>
  </w:endnote>
  <w:endnote w:id="14">
    <w:p w14:paraId="70FD7DDF" w14:textId="77777777" w:rsidR="00F907E0" w:rsidRPr="00BE3889" w:rsidRDefault="00F907E0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 xml:space="preserve">Substance Abuse and Mental Health Services Administration. (2021). Key substance use and mental health indicators in the United States: Results from the 2020 National Survey on Drug Use and Health (HHS Publication No. PEP21-07-01-003, NSDUH Series H-56). Rockville, MD: Center for Behavioral Health Statistics and Quality, Substance Abuse and Mental Health Services Administration. Retrieved from </w:t>
      </w:r>
      <w:hyperlink r:id="rId4" w:history="1">
        <w:r w:rsidRPr="00BE3889">
          <w:rPr>
            <w:rStyle w:val="Hyperlink"/>
            <w:sz w:val="22"/>
            <w:szCs w:val="22"/>
          </w:rPr>
          <w:t>https://www.samhsa.gov/data/</w:t>
        </w:r>
      </w:hyperlink>
      <w:r w:rsidRPr="00BE3889">
        <w:rPr>
          <w:sz w:val="22"/>
          <w:szCs w:val="22"/>
        </w:rPr>
        <w:t xml:space="preserve"> </w:t>
      </w:r>
    </w:p>
  </w:endnote>
  <w:endnote w:id="15">
    <w:p w14:paraId="41AC837F" w14:textId="77777777" w:rsidR="0089279F" w:rsidRPr="00BE3889" w:rsidRDefault="0089279F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Torous J, Myrick K, Aguilera A. The need for a new generation of digital mental health tools to support more accessible, effective and equitable care. World Psychiatry. 2023 Feb;22(1):1-2. doi: 10.1002/wps.21058. PMID: 36640397.</w:t>
      </w:r>
    </w:p>
  </w:endnote>
  <w:endnote w:id="16">
    <w:p w14:paraId="276A8F73" w14:textId="37B6E9B4" w:rsidR="0089279F" w:rsidRPr="00BE3889" w:rsidRDefault="0089279F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Mathews SC, McShea MJ, Hanley CL, Ravitz A, Labrique AB, Cohen AB. Digital health: a path to validation. NPJ Digit Med. 2019 May 13;2:38. doi: 10.1038/s41746-019-0111-3. PMID: 31304384; PMCID: PMC6550273.</w:t>
      </w:r>
    </w:p>
  </w:endnote>
  <w:endnote w:id="17">
    <w:p w14:paraId="3CF1FF19" w14:textId="77777777" w:rsidR="0045188A" w:rsidRPr="00BE3889" w:rsidRDefault="0045188A" w:rsidP="0045188A">
      <w:pPr>
        <w:pStyle w:val="EndnoteText"/>
        <w:ind w:left="432" w:hanging="432"/>
        <w:rPr>
          <w:rFonts w:cstheme="minorHAnsi"/>
          <w:sz w:val="22"/>
          <w:szCs w:val="22"/>
        </w:rPr>
      </w:pPr>
      <w:r w:rsidRPr="00BE3889">
        <w:rPr>
          <w:rStyle w:val="EndnoteReference"/>
          <w:rFonts w:cstheme="minorHAnsi"/>
          <w:sz w:val="22"/>
          <w:szCs w:val="22"/>
        </w:rPr>
        <w:endnoteRef/>
      </w:r>
      <w:r w:rsidRPr="00BE3889">
        <w:rPr>
          <w:rFonts w:cstheme="minorHAnsi"/>
          <w:sz w:val="22"/>
          <w:szCs w:val="22"/>
        </w:rPr>
        <w:t xml:space="preserve"> </w:t>
      </w:r>
      <w:r w:rsidRPr="00BE3889">
        <w:rPr>
          <w:rFonts w:cstheme="minorHAnsi"/>
          <w:sz w:val="22"/>
          <w:szCs w:val="22"/>
        </w:rPr>
        <w:tab/>
      </w:r>
      <w:r w:rsidRPr="00BE3889">
        <w:rPr>
          <w:rFonts w:cstheme="minorHAnsi"/>
          <w:color w:val="222222"/>
          <w:sz w:val="22"/>
          <w:szCs w:val="22"/>
          <w:shd w:val="clear" w:color="auto" w:fill="FFFFFF"/>
        </w:rPr>
        <w:t xml:space="preserve">Mitchell S, </w:t>
      </w:r>
      <w:r w:rsidRPr="00BE3889">
        <w:rPr>
          <w:rFonts w:cstheme="minorHAnsi"/>
          <w:sz w:val="22"/>
          <w:szCs w:val="22"/>
        </w:rPr>
        <w:t>Potash</w:t>
      </w:r>
      <w:r w:rsidRPr="00BE3889">
        <w:rPr>
          <w:rFonts w:cstheme="minorHAnsi"/>
          <w:color w:val="222222"/>
          <w:sz w:val="22"/>
          <w:szCs w:val="22"/>
          <w:shd w:val="clear" w:color="auto" w:fill="FFFFFF"/>
        </w:rPr>
        <w:t xml:space="preserve"> E, Barocas S, D'Amour A, Lum K. Algorithmic fairness: Choices, assumptions, and definitions. Annual Review of Statistics and Its Application. 2021 Mar 7;8:141-63.</w:t>
      </w:r>
    </w:p>
  </w:endnote>
  <w:endnote w:id="18">
    <w:p w14:paraId="7C8D8185" w14:textId="6A9DB8FA" w:rsidR="000F597E" w:rsidRPr="00BE3889" w:rsidRDefault="000F597E" w:rsidP="00F907E0">
      <w:pPr>
        <w:pStyle w:val="EndnoteText"/>
        <w:ind w:left="432" w:hanging="432"/>
        <w:rPr>
          <w:sz w:val="22"/>
          <w:szCs w:val="22"/>
        </w:rPr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Alemi F, Min H, Yousefi M, Becker LK, Hane CA, Nori VS, Wojtusiak J. Effectiveness of common antidepressants: a post market release study. EClinicalMedicine. 2021 Oct 25;41:101171. doi: 10.1016/j.eclinm.2021.101171. PMID: 34877511; PMCID: PMC8633963.</w:t>
      </w:r>
    </w:p>
  </w:endnote>
  <w:endnote w:id="19">
    <w:p w14:paraId="2332F1AB" w14:textId="13F38A0C" w:rsidR="00BE3889" w:rsidRDefault="00BE3889" w:rsidP="00BE3889">
      <w:pPr>
        <w:pStyle w:val="EndnoteText"/>
        <w:ind w:left="432" w:hanging="432"/>
      </w:pPr>
      <w:r w:rsidRPr="00BE3889">
        <w:rPr>
          <w:rStyle w:val="EndnoteReference"/>
          <w:sz w:val="22"/>
          <w:szCs w:val="22"/>
        </w:rPr>
        <w:endnoteRef/>
      </w:r>
      <w:r w:rsidRPr="00BE3889">
        <w:rPr>
          <w:sz w:val="22"/>
          <w:szCs w:val="22"/>
        </w:rPr>
        <w:t xml:space="preserve"> </w:t>
      </w:r>
      <w:r w:rsidRPr="00BE3889">
        <w:rPr>
          <w:sz w:val="22"/>
          <w:szCs w:val="22"/>
        </w:rPr>
        <w:tab/>
        <w:t>Mapes BM, Foster CS, Kusnoor SV, Epelbaum MI, AuYoung M, Jenkins G, Lopez-Class M, Richardson-Heron D, Elmi A, Surkan K, Cronin RM, Wilkins CH, Pérez-Stable EJ, Dishman E, Denny JC, Rutter JL; All of Us Research Program. Diversity and inclusion for the All of Us research program: A scoping review. PLoS One. 2020 Jul 1;15(7):e0234962. doi: 10.1371/journal.pone.0234962. PMID: 32609747; PMCID: PMC7329113.</w:t>
      </w:r>
    </w:p>
  </w:endnote>
  <w:endnote w:id="20">
    <w:p w14:paraId="22048991" w14:textId="77777777" w:rsidR="00B9795F" w:rsidRPr="0034263E" w:rsidRDefault="00B9795F" w:rsidP="00B9795F">
      <w:pPr>
        <w:pStyle w:val="EndnoteText"/>
        <w:ind w:left="432" w:hanging="432"/>
        <w:rPr>
          <w:sz w:val="22"/>
          <w:szCs w:val="22"/>
        </w:rPr>
      </w:pPr>
      <w:r w:rsidRPr="0034263E">
        <w:rPr>
          <w:rStyle w:val="EndnoteReference"/>
          <w:sz w:val="22"/>
          <w:szCs w:val="22"/>
        </w:rPr>
        <w:endnoteRef/>
      </w:r>
      <w:r w:rsidRPr="0034263E">
        <w:rPr>
          <w:sz w:val="22"/>
          <w:szCs w:val="22"/>
        </w:rPr>
        <w:t xml:space="preserve"> </w:t>
      </w:r>
      <w:r w:rsidRPr="0034263E">
        <w:rPr>
          <w:sz w:val="22"/>
          <w:szCs w:val="22"/>
        </w:rPr>
        <w:tab/>
        <w:t>Alemi F, Aljuaid M, Durbha N, Yousefi M, Min H, Sylvia LG, Nierenberg AA. A surrogate measure for patient reported symptom remission in administrative data. BMC Psychiatry. 2021 Mar 4;21(1):121. doi: 10.1186/s12888-021-03133-1. PMID: 33663440; PMCID: PMC7931356.</w:t>
      </w:r>
    </w:p>
  </w:endnote>
  <w:endnote w:id="21">
    <w:p w14:paraId="6E92A9A2" w14:textId="77777777" w:rsidR="00115A96" w:rsidRPr="00C61D0D" w:rsidRDefault="00115A96" w:rsidP="00115A96">
      <w:pPr>
        <w:pStyle w:val="EndnoteText"/>
        <w:rPr>
          <w:rFonts w:cstheme="minorHAnsi"/>
          <w:sz w:val="22"/>
          <w:szCs w:val="22"/>
        </w:rPr>
      </w:pPr>
      <w:r w:rsidRPr="00C61D0D">
        <w:rPr>
          <w:rStyle w:val="EndnoteReference"/>
          <w:rFonts w:cstheme="minorHAnsi"/>
          <w:sz w:val="22"/>
          <w:szCs w:val="22"/>
        </w:rPr>
        <w:endnoteRef/>
      </w:r>
      <w:r w:rsidRPr="00C61D0D">
        <w:rPr>
          <w:rFonts w:cstheme="minorHAnsi"/>
          <w:sz w:val="22"/>
          <w:szCs w:val="22"/>
        </w:rPr>
        <w:t xml:space="preserve"> </w:t>
      </w:r>
      <w:r w:rsidRPr="00C61D0D">
        <w:rPr>
          <w:rFonts w:cstheme="minorHAnsi"/>
          <w:sz w:val="22"/>
          <w:szCs w:val="22"/>
        </w:rPr>
        <w:tab/>
        <w:t>Glymour M, Pearl J, Jewell NP. Causal Inference in Statistics - A Primer. John Wiley and Sons, 2016.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??"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46B2" w14:textId="77777777" w:rsidR="00EF09C5" w:rsidRDefault="00EF09C5" w:rsidP="005679D3">
      <w:pPr>
        <w:spacing w:after="0" w:line="240" w:lineRule="auto"/>
      </w:pPr>
      <w:r>
        <w:separator/>
      </w:r>
    </w:p>
  </w:footnote>
  <w:footnote w:type="continuationSeparator" w:id="0">
    <w:p w14:paraId="1D0FAA4C" w14:textId="77777777" w:rsidR="00EF09C5" w:rsidRDefault="00EF09C5" w:rsidP="00567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3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99"/>
    <w:rsid w:val="000E0A58"/>
    <w:rsid w:val="000E7765"/>
    <w:rsid w:val="000F597E"/>
    <w:rsid w:val="00115A96"/>
    <w:rsid w:val="00151561"/>
    <w:rsid w:val="00173F77"/>
    <w:rsid w:val="00177C3F"/>
    <w:rsid w:val="00182064"/>
    <w:rsid w:val="002054A9"/>
    <w:rsid w:val="00210611"/>
    <w:rsid w:val="0021419C"/>
    <w:rsid w:val="00241107"/>
    <w:rsid w:val="00246728"/>
    <w:rsid w:val="00264F2A"/>
    <w:rsid w:val="002D563C"/>
    <w:rsid w:val="00322845"/>
    <w:rsid w:val="0034263E"/>
    <w:rsid w:val="0039327C"/>
    <w:rsid w:val="0045188A"/>
    <w:rsid w:val="00456B10"/>
    <w:rsid w:val="004E69DB"/>
    <w:rsid w:val="004F14C7"/>
    <w:rsid w:val="00513320"/>
    <w:rsid w:val="005679D3"/>
    <w:rsid w:val="0060347D"/>
    <w:rsid w:val="00603B40"/>
    <w:rsid w:val="00633496"/>
    <w:rsid w:val="006B45D9"/>
    <w:rsid w:val="006E599F"/>
    <w:rsid w:val="0076429F"/>
    <w:rsid w:val="00774CFE"/>
    <w:rsid w:val="007A05EC"/>
    <w:rsid w:val="007A6B46"/>
    <w:rsid w:val="0089279F"/>
    <w:rsid w:val="008961CC"/>
    <w:rsid w:val="008C0E75"/>
    <w:rsid w:val="009065D6"/>
    <w:rsid w:val="009176A3"/>
    <w:rsid w:val="00983648"/>
    <w:rsid w:val="009A176F"/>
    <w:rsid w:val="009D79E0"/>
    <w:rsid w:val="00A726DF"/>
    <w:rsid w:val="00A77F1B"/>
    <w:rsid w:val="00A97099"/>
    <w:rsid w:val="00AA4D37"/>
    <w:rsid w:val="00AB5F7B"/>
    <w:rsid w:val="00B40679"/>
    <w:rsid w:val="00B9795F"/>
    <w:rsid w:val="00BD3D56"/>
    <w:rsid w:val="00BE3889"/>
    <w:rsid w:val="00C23495"/>
    <w:rsid w:val="00C328E9"/>
    <w:rsid w:val="00C44E6E"/>
    <w:rsid w:val="00CA6CE2"/>
    <w:rsid w:val="00D30957"/>
    <w:rsid w:val="00D420D6"/>
    <w:rsid w:val="00D50258"/>
    <w:rsid w:val="00D52F8A"/>
    <w:rsid w:val="00D65A39"/>
    <w:rsid w:val="00E959C9"/>
    <w:rsid w:val="00EA3D6C"/>
    <w:rsid w:val="00EF09C5"/>
    <w:rsid w:val="00F26B7E"/>
    <w:rsid w:val="00F308B2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EBE5"/>
  <w15:chartTrackingRefBased/>
  <w15:docId w15:val="{9DBF3C92-1BA7-4AEC-B507-2FFA10F9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5679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qFormat/>
    <w:rsid w:val="005679D3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5679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3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D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0258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15A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pidimprovement.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xplodingtopics.com/blog/mental-health-startups" TargetMode="External"/><Relationship Id="rId2" Type="http://schemas.openxmlformats.org/officeDocument/2006/relationships/hyperlink" Target="https://www.samhsa.gov/data/" TargetMode="External"/><Relationship Id="rId1" Type="http://schemas.openxmlformats.org/officeDocument/2006/relationships/hyperlink" Target="https://www.nami.org/NAMI/media/NAMI-Media/Infographics/NAMI_2020MH_ByTheNumbers_Adults-r.pdf" TargetMode="External"/><Relationship Id="rId4" Type="http://schemas.openxmlformats.org/officeDocument/2006/relationships/hyperlink" Target="https://www.samhsa.gov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0B18-7491-4E29-B23D-E8E1B52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3</cp:revision>
  <dcterms:created xsi:type="dcterms:W3CDTF">2024-02-21T14:59:00Z</dcterms:created>
  <dcterms:modified xsi:type="dcterms:W3CDTF">2024-02-21T15:57:00Z</dcterms:modified>
</cp:coreProperties>
</file>