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90E5D" w14:textId="77777777" w:rsidR="00DE2166" w:rsidRDefault="00000000">
      <w:pPr>
        <w:spacing w:after="120"/>
        <w:jc w:val="center"/>
      </w:pPr>
      <w:r>
        <w:rPr>
          <w:b/>
          <w:bCs/>
          <w:sz w:val="28"/>
          <w:szCs w:val="28"/>
        </w:rPr>
        <w:t>Methods: Stage-One Screening for Conditions That Cause or Mimic Major Depressive Disorder Using DEMI Attribution</w:t>
      </w:r>
    </w:p>
    <w:p w14:paraId="1308CB2C" w14:textId="77777777" w:rsidR="00DE2166" w:rsidRDefault="00000000">
      <w:pPr>
        <w:spacing w:after="240"/>
        <w:jc w:val="center"/>
      </w:pPr>
      <w:r>
        <w:rPr>
          <w:i/>
          <w:iCs/>
          <w:sz w:val="20"/>
          <w:szCs w:val="20"/>
        </w:rPr>
        <w:t>Draft methods section. Values marked [placeholder] are to be set by the investigators.</w:t>
      </w:r>
    </w:p>
    <w:p w14:paraId="5367121A" w14:textId="77777777" w:rsidR="00DE2166" w:rsidRDefault="00000000">
      <w:pPr>
        <w:pStyle w:val="Heading1"/>
        <w:spacing w:before="240" w:after="160"/>
      </w:pPr>
      <w:r>
        <w:t>Overview of the Two-Stage Approach</w:t>
      </w:r>
    </w:p>
    <w:p w14:paraId="342E5559" w14:textId="77777777" w:rsidR="00DE2166" w:rsidRDefault="00000000">
      <w:pPr>
        <w:spacing w:after="160" w:line="300" w:lineRule="auto"/>
        <w:jc w:val="both"/>
      </w:pPr>
      <w:r>
        <w:t xml:space="preserve">A diagnosis of major depressive disorder (MDD) in the electronic health record (EHR) may be incomplete or incorrect. The depressive presentation may be caused by a medical condition, such as hypothyroidism, vitamin B12 or vitamin D deficiency, hypercalcemia, or prodromal Parkinson's disease, or by substance use or withdrawal. It may also reflect a psychiatric condition whose symptoms overlap with depression, such as bipolar disorder, </w:t>
      </w:r>
      <w:proofErr w:type="gramStart"/>
      <w:r>
        <w:t>an anxiety</w:t>
      </w:r>
      <w:proofErr w:type="gramEnd"/>
      <w:r>
        <w:t xml:space="preserve"> disorder or posttraumatic stress disorder (PTSD), or attention-deficit/hyperactivity disorder (ADHD). Missing these alternatives has direct consequences: an untreated medical cause persists, and antidepressant monotherapy in unrecognized bipolar disorder risks inducing mania.</w:t>
      </w:r>
    </w:p>
    <w:p w14:paraId="708D125E" w14:textId="77777777" w:rsidR="00DE2166" w:rsidRDefault="00000000">
      <w:pPr>
        <w:spacing w:after="160" w:line="300" w:lineRule="auto"/>
        <w:jc w:val="both"/>
      </w:pPr>
      <w:r>
        <w:t>We use a two-stage design. Stage one is an automated screen applied to all patients with an MDD diagnosis. It uses the Direct Effects Multiplicative Inference (DEMI) algorithm to estimate, for each of eight alternative diagnoses, how strongly the patient's record points to that alternative as the cause or the better explanation of the depressive presentation. Patients who screen positive for one or more alternatives proceed to stage two, a targeted differentiation step drawn from published diagnostic interview guides, supplemented by confirmatory testing where an alternative is medical. Because every stage-one positive is reviewed in stage two, stage one is calibrated for high sensitivity. This section describes stage one.</w:t>
      </w:r>
    </w:p>
    <w:p w14:paraId="6F069496" w14:textId="77777777" w:rsidR="00DE2166" w:rsidRDefault="00000000">
      <w:pPr>
        <w:pStyle w:val="Heading1"/>
        <w:spacing w:before="240" w:after="160"/>
      </w:pPr>
      <w:r>
        <w:t>Alternative Diagnoses and Their Roles</w:t>
      </w:r>
    </w:p>
    <w:p w14:paraId="6A7F22D2" w14:textId="77777777" w:rsidR="00DE2166" w:rsidRDefault="00000000">
      <w:pPr>
        <w:spacing w:after="160" w:line="300" w:lineRule="auto"/>
        <w:jc w:val="both"/>
      </w:pPr>
      <w:r>
        <w:t>The eight alternatives relate to depression in two different ways, and the screen treats them differently:</w:t>
      </w:r>
    </w:p>
    <w:p w14:paraId="2A67B486" w14:textId="77777777" w:rsidR="00DE2166" w:rsidRDefault="00000000">
      <w:pPr>
        <w:pStyle w:val="ListParagraph"/>
        <w:numPr>
          <w:ilvl w:val="0"/>
          <w:numId w:val="2"/>
        </w:numPr>
        <w:spacing w:after="80" w:line="280" w:lineRule="auto"/>
      </w:pPr>
      <w:r>
        <w:rPr>
          <w:b/>
          <w:bCs/>
        </w:rPr>
        <w:t xml:space="preserve">Causal contributors </w:t>
      </w:r>
      <w:r>
        <w:t>produce depressive symptoms through a physiological pathway: hypothyroidism, vitamin B12 deficiency, vitamin D deficiency, hypercalcemia, prodromal Parkinson's disease, and substance use disorders (including intoxication and withdrawal). For these, the clinical question is how much of the depression is attributable to the condition, and the counterfactual attribution score described below applies directly.</w:t>
      </w:r>
    </w:p>
    <w:p w14:paraId="6785312C" w14:textId="77777777" w:rsidR="00DE2166" w:rsidRDefault="00000000">
      <w:pPr>
        <w:pStyle w:val="ListParagraph"/>
        <w:numPr>
          <w:ilvl w:val="0"/>
          <w:numId w:val="2"/>
        </w:numPr>
        <w:spacing w:after="80" w:line="280" w:lineRule="auto"/>
      </w:pPr>
      <w:r>
        <w:rPr>
          <w:b/>
          <w:bCs/>
        </w:rPr>
        <w:t xml:space="preserve">Diagnostic mimics </w:t>
      </w:r>
      <w:r>
        <w:t>share symptoms with depression or represent a different illness with a depressive phase: bipolar disorder, anxiety disorders and PTSD, and ADHD. For these, the clinical question is whether the depressive presentation is better explained by the alternative, and the competing-diagnosis score is primary. Anxiety disorders and PTSD also commonly precede and contribute to depression, so both scores are computed for them.</w:t>
      </w:r>
    </w:p>
    <w:p w14:paraId="7BBC6389" w14:textId="25A9A33C" w:rsidR="00DE2166" w:rsidRDefault="00000000">
      <w:pPr>
        <w:spacing w:after="160" w:line="300" w:lineRule="auto"/>
        <w:jc w:val="both"/>
      </w:pPr>
      <w:r>
        <w:lastRenderedPageBreak/>
        <w:t xml:space="preserve">The evidence that correcting vitamin D deficiency relieves depression is weak; a </w:t>
      </w:r>
      <w:proofErr w:type="gramStart"/>
      <w:r>
        <w:t>large randomized</w:t>
      </w:r>
      <w:proofErr w:type="gramEnd"/>
      <w:r>
        <w:t xml:space="preserve"> trial of supplementation found no effect on depression risk (Okereke et al., 2020). Vitamin D deficiency is retained in the screen because it is common and cheaply corrected, but its attribution score is interpreted </w:t>
      </w:r>
      <w:r w:rsidR="004F33AD">
        <w:t>cautiously,</w:t>
      </w:r>
      <w:r>
        <w:t xml:space="preserve"> and its findings are reported separately.</w:t>
      </w:r>
    </w:p>
    <w:p w14:paraId="054376F5" w14:textId="77777777" w:rsidR="00DE2166" w:rsidRDefault="00000000">
      <w:pPr>
        <w:pStyle w:val="Heading1"/>
        <w:spacing w:before="240" w:after="160"/>
      </w:pPr>
      <w:r>
        <w:t>Data Sources and Study Population</w:t>
      </w:r>
    </w:p>
    <w:p w14:paraId="083755F8" w14:textId="77777777" w:rsidR="00DE2166" w:rsidRDefault="00000000">
      <w:pPr>
        <w:spacing w:after="160" w:line="300" w:lineRule="auto"/>
        <w:jc w:val="both"/>
      </w:pPr>
      <w:r>
        <w:t>The DEMI knowledgebase is derived from EHR data in the NIH All of Us Research Program. Thresholds are developed in a tuning partition of All of Us data that is not used to build the knowledgebase. The screen, with thresholds fixed, is validated in a held-out All of Us partition and externally in MIMIC-IV. Because MIMIC-IV has limited longitudinal follow-up, alternatives whose reference standard depends on a later diagnosis (bipolar disorder and Parkinson's disease) are validated primarily in the held-out All of Us partition.</w:t>
      </w:r>
    </w:p>
    <w:p w14:paraId="4DE9D114" w14:textId="77777777" w:rsidR="00DE2166" w:rsidRDefault="00000000">
      <w:pPr>
        <w:spacing w:after="160" w:line="300" w:lineRule="auto"/>
        <w:jc w:val="both"/>
      </w:pPr>
      <w:r>
        <w:t xml:space="preserve">The screening population consists of adults with at least one diagnosis of MDD (ICD-10-CM F32 or F33, mapped to SNOMED CT). The index date is the date of the first MDD diagnosis. Patients </w:t>
      </w:r>
      <w:proofErr w:type="gramStart"/>
      <w:r>
        <w:t>already</w:t>
      </w:r>
      <w:proofErr w:type="gramEnd"/>
      <w:r>
        <w:t xml:space="preserve"> carrying a diagnosis of a given alternative before the index date remain in the population, because the screen asks whether that known condition explains the depression, not only whether it is present.</w:t>
      </w:r>
    </w:p>
    <w:p w14:paraId="1E06B8C5" w14:textId="77777777" w:rsidR="00DE2166" w:rsidRDefault="00000000">
      <w:pPr>
        <w:pStyle w:val="Heading1"/>
        <w:spacing w:before="240" w:after="160"/>
      </w:pPr>
      <w:r>
        <w:t>Temporally Anchored Features</w:t>
      </w:r>
    </w:p>
    <w:p w14:paraId="02EB2281" w14:textId="77777777" w:rsidR="00DE2166" w:rsidRDefault="00000000">
      <w:pPr>
        <w:spacing w:after="160" w:line="300" w:lineRule="auto"/>
        <w:jc w:val="both"/>
      </w:pPr>
      <w:r>
        <w:t>DEMI's knowledgebase encodes pairwise relationships among clinical concepts and does not represent temporal order by itself. We therefore encode order in the definition of the features, relative to the index date. Only information recorded on or before the index date is used for screening; later information is reserved for reference standards. Table 1 lists the principal features for each alternative. Three kinds of features are used throughout:</w:t>
      </w:r>
    </w:p>
    <w:p w14:paraId="1197668A" w14:textId="77777777" w:rsidR="00DE2166" w:rsidRDefault="00000000">
      <w:pPr>
        <w:pStyle w:val="ListParagraph"/>
        <w:numPr>
          <w:ilvl w:val="0"/>
          <w:numId w:val="2"/>
        </w:numPr>
        <w:spacing w:after="80" w:line="280" w:lineRule="auto"/>
      </w:pPr>
      <w:r>
        <w:rPr>
          <w:b/>
          <w:bCs/>
        </w:rPr>
        <w:t xml:space="preserve">Diagnosis codes </w:t>
      </w:r>
      <w:r>
        <w:t>for the alternative, with timing relative to the index date (for example, before versus within 90 days before).</w:t>
      </w:r>
    </w:p>
    <w:p w14:paraId="78456E09" w14:textId="77777777" w:rsidR="00DE2166" w:rsidRDefault="00000000">
      <w:pPr>
        <w:pStyle w:val="ListParagraph"/>
        <w:numPr>
          <w:ilvl w:val="0"/>
          <w:numId w:val="2"/>
        </w:numPr>
        <w:spacing w:after="80" w:line="280" w:lineRule="auto"/>
      </w:pPr>
      <w:r>
        <w:rPr>
          <w:b/>
          <w:bCs/>
        </w:rPr>
        <w:t xml:space="preserve">Laboratory values, </w:t>
      </w:r>
      <w:r>
        <w:t xml:space="preserve">because deficiencies and endocrine abnormalities are under-coded as diagnoses. Abnormal results within [placeholder: 180] days before the index date are encoded as binary features at conventional cutoffs (for example, TSH above the laboratory reference range, serum B12 below 200 </w:t>
      </w:r>
      <w:proofErr w:type="spellStart"/>
      <w:r>
        <w:t>pg</w:t>
      </w:r>
      <w:proofErr w:type="spellEnd"/>
      <w:r>
        <w:t>/mL, 25-hydroxyvitamin D below 20 ng/mL, serum calcium above 10.5 mg/dL). The absence of a test is encoded separately from a normal result.</w:t>
      </w:r>
    </w:p>
    <w:p w14:paraId="1A9B3F11" w14:textId="77777777" w:rsidR="00DE2166" w:rsidRDefault="00000000">
      <w:pPr>
        <w:pStyle w:val="ListParagraph"/>
        <w:numPr>
          <w:ilvl w:val="0"/>
          <w:numId w:val="2"/>
        </w:numPr>
        <w:spacing w:after="80" w:line="280" w:lineRule="auto"/>
      </w:pPr>
      <w:r>
        <w:rPr>
          <w:b/>
          <w:bCs/>
        </w:rPr>
        <w:t xml:space="preserve">Treatment and course markers, </w:t>
      </w:r>
      <w:r>
        <w:t>such as levothyroxine, B12 replacement, mood stabilizers, stimulants, or a manic or hypomanic episode following antidepressant initiation.</w:t>
      </w:r>
    </w:p>
    <w:p w14:paraId="50CF22F3" w14:textId="77777777" w:rsidR="00DE2166" w:rsidRDefault="00000000">
      <w:pPr>
        <w:spacing w:after="160" w:line="300" w:lineRule="auto"/>
        <w:jc w:val="both"/>
      </w:pPr>
      <w:r>
        <w:lastRenderedPageBreak/>
        <w:t>Prodromal features deserve particular attention for Parkinson's disease and bipolar disorder, because the alternative is often not yet diagnosed at the index date. For Parkinson's disease these include REM sleep behavior disorder, loss of smell, constipation, tremor, and late-life onset of first depression (Schrag et al., 2015). For bipolar disorder they include early age at onset, antidepressant-emergent hypomania, family history of bipolar disorder, and prior prescription of mood stabilizers or antipsychotics.</w:t>
      </w:r>
    </w:p>
    <w:p w14:paraId="357CB1D3" w14:textId="77777777" w:rsidR="00DE2166" w:rsidRDefault="00000000">
      <w:pPr>
        <w:spacing w:before="200" w:after="100"/>
      </w:pPr>
      <w:r>
        <w:rPr>
          <w:b/>
          <w:bCs/>
        </w:rPr>
        <w:t>Table 1. Alternative diagnoses, principal stage-one features, and reference standards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1050"/>
        <w:gridCol w:w="2900"/>
        <w:gridCol w:w="2560"/>
        <w:gridCol w:w="1400"/>
      </w:tblGrid>
      <w:tr w:rsidR="00DE2166" w14:paraId="255E41CD" w14:textId="77777777">
        <w:tblPrEx>
          <w:tblCellMar>
            <w:top w:w="0" w:type="dxa"/>
            <w:bottom w:w="0" w:type="dxa"/>
          </w:tblCellMar>
        </w:tblPrEx>
        <w:trPr>
          <w:tblHeader/>
        </w:trPr>
        <w:tc>
          <w:tcPr>
            <w:tcW w:w="1450" w:type="dxa"/>
            <w:tcBorders>
              <w:top w:val="single" w:sz="4" w:space="0" w:color="999999"/>
              <w:left w:val="single" w:sz="4" w:space="0" w:color="999999"/>
              <w:bottom w:val="single" w:sz="4" w:space="0" w:color="999999"/>
              <w:right w:val="single" w:sz="4" w:space="0" w:color="999999"/>
            </w:tcBorders>
            <w:shd w:val="clear" w:color="auto" w:fill="D9E2F3"/>
            <w:tcMar>
              <w:top w:w="50" w:type="dxa"/>
              <w:left w:w="80" w:type="dxa"/>
              <w:bottom w:w="50" w:type="dxa"/>
              <w:right w:w="80" w:type="dxa"/>
            </w:tcMar>
          </w:tcPr>
          <w:p w14:paraId="0BBEB490" w14:textId="77777777" w:rsidR="00DE2166" w:rsidRDefault="00000000">
            <w:r>
              <w:rPr>
                <w:b/>
                <w:bCs/>
                <w:sz w:val="17"/>
                <w:szCs w:val="17"/>
              </w:rPr>
              <w:t>Alternative</w:t>
            </w:r>
          </w:p>
        </w:tc>
        <w:tc>
          <w:tcPr>
            <w:tcW w:w="1050" w:type="dxa"/>
            <w:tcBorders>
              <w:top w:val="single" w:sz="4" w:space="0" w:color="999999"/>
              <w:left w:val="single" w:sz="4" w:space="0" w:color="999999"/>
              <w:bottom w:val="single" w:sz="4" w:space="0" w:color="999999"/>
              <w:right w:val="single" w:sz="4" w:space="0" w:color="999999"/>
            </w:tcBorders>
            <w:shd w:val="clear" w:color="auto" w:fill="D9E2F3"/>
            <w:tcMar>
              <w:top w:w="50" w:type="dxa"/>
              <w:left w:w="80" w:type="dxa"/>
              <w:bottom w:w="50" w:type="dxa"/>
              <w:right w:w="80" w:type="dxa"/>
            </w:tcMar>
          </w:tcPr>
          <w:p w14:paraId="2E21A1AD" w14:textId="77777777" w:rsidR="00DE2166" w:rsidRDefault="00000000">
            <w:r>
              <w:rPr>
                <w:b/>
                <w:bCs/>
                <w:sz w:val="17"/>
                <w:szCs w:val="17"/>
              </w:rPr>
              <w:t>Role</w:t>
            </w:r>
          </w:p>
        </w:tc>
        <w:tc>
          <w:tcPr>
            <w:tcW w:w="2900" w:type="dxa"/>
            <w:tcBorders>
              <w:top w:val="single" w:sz="4" w:space="0" w:color="999999"/>
              <w:left w:val="single" w:sz="4" w:space="0" w:color="999999"/>
              <w:bottom w:val="single" w:sz="4" w:space="0" w:color="999999"/>
              <w:right w:val="single" w:sz="4" w:space="0" w:color="999999"/>
            </w:tcBorders>
            <w:shd w:val="clear" w:color="auto" w:fill="D9E2F3"/>
            <w:tcMar>
              <w:top w:w="50" w:type="dxa"/>
              <w:left w:w="80" w:type="dxa"/>
              <w:bottom w:w="50" w:type="dxa"/>
              <w:right w:w="80" w:type="dxa"/>
            </w:tcMar>
          </w:tcPr>
          <w:p w14:paraId="5B442783" w14:textId="77777777" w:rsidR="00DE2166" w:rsidRDefault="00000000">
            <w:r>
              <w:rPr>
                <w:b/>
                <w:bCs/>
                <w:sz w:val="17"/>
                <w:szCs w:val="17"/>
              </w:rPr>
              <w:t>Principal features (on or before index)</w:t>
            </w:r>
          </w:p>
        </w:tc>
        <w:tc>
          <w:tcPr>
            <w:tcW w:w="2560" w:type="dxa"/>
            <w:tcBorders>
              <w:top w:val="single" w:sz="4" w:space="0" w:color="999999"/>
              <w:left w:val="single" w:sz="4" w:space="0" w:color="999999"/>
              <w:bottom w:val="single" w:sz="4" w:space="0" w:color="999999"/>
              <w:right w:val="single" w:sz="4" w:space="0" w:color="999999"/>
            </w:tcBorders>
            <w:shd w:val="clear" w:color="auto" w:fill="D9E2F3"/>
            <w:tcMar>
              <w:top w:w="50" w:type="dxa"/>
              <w:left w:w="80" w:type="dxa"/>
              <w:bottom w:w="50" w:type="dxa"/>
              <w:right w:w="80" w:type="dxa"/>
            </w:tcMar>
          </w:tcPr>
          <w:p w14:paraId="60ACB93C" w14:textId="77777777" w:rsidR="00DE2166" w:rsidRDefault="00000000">
            <w:r>
              <w:rPr>
                <w:b/>
                <w:bCs/>
                <w:sz w:val="17"/>
                <w:szCs w:val="17"/>
              </w:rPr>
              <w:t>Reference standard (positive)</w:t>
            </w:r>
          </w:p>
        </w:tc>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50" w:type="dxa"/>
              <w:left w:w="80" w:type="dxa"/>
              <w:bottom w:w="50" w:type="dxa"/>
              <w:right w:w="80" w:type="dxa"/>
            </w:tcMar>
          </w:tcPr>
          <w:p w14:paraId="5D4B1B2C" w14:textId="77777777" w:rsidR="00DE2166" w:rsidRDefault="00000000">
            <w:r>
              <w:rPr>
                <w:b/>
                <w:bCs/>
                <w:sz w:val="17"/>
                <w:szCs w:val="17"/>
              </w:rPr>
              <w:t>Primary score</w:t>
            </w:r>
          </w:p>
        </w:tc>
      </w:tr>
      <w:tr w:rsidR="00DE2166" w14:paraId="785F8EDB"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2C0F0EA5" w14:textId="77777777" w:rsidR="00DE2166" w:rsidRDefault="00000000">
            <w:r>
              <w:rPr>
                <w:sz w:val="17"/>
                <w:szCs w:val="17"/>
              </w:rPr>
              <w:t>Hypothyroidism</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58B19A1F" w14:textId="77777777" w:rsidR="00DE2166" w:rsidRDefault="00000000">
            <w:r>
              <w:rPr>
                <w:sz w:val="17"/>
                <w:szCs w:val="17"/>
              </w:rPr>
              <w:t>Causal</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0726A5C" w14:textId="77777777" w:rsidR="00DE2166" w:rsidRDefault="00000000">
            <w:r>
              <w:rPr>
                <w:sz w:val="17"/>
                <w:szCs w:val="17"/>
              </w:rPr>
              <w:t>E03 codes; elevated TSH or low free T4; levothyroxine</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0670FC2" w14:textId="77777777" w:rsidR="00DE2166" w:rsidRDefault="00000000">
            <w:r>
              <w:rPr>
                <w:sz w:val="17"/>
                <w:szCs w:val="17"/>
              </w:rPr>
              <w:t>Abnormal thyroid labs near index, or depressive codes resolving after treatment</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CD45220" w14:textId="77777777" w:rsidR="00DE2166" w:rsidRDefault="00000000">
            <w:r>
              <w:rPr>
                <w:sz w:val="17"/>
                <w:szCs w:val="17"/>
              </w:rPr>
              <w:t>S2, with S1</w:t>
            </w:r>
          </w:p>
        </w:tc>
      </w:tr>
      <w:tr w:rsidR="00DE2166" w14:paraId="3EEF58B6"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04F863DE" w14:textId="77777777" w:rsidR="00DE2166" w:rsidRDefault="00000000">
            <w:r>
              <w:rPr>
                <w:sz w:val="17"/>
                <w:szCs w:val="17"/>
              </w:rPr>
              <w:t>Vitamin B12 deficiency</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81BFC50" w14:textId="77777777" w:rsidR="00DE2166" w:rsidRDefault="00000000">
            <w:r>
              <w:rPr>
                <w:sz w:val="17"/>
                <w:szCs w:val="17"/>
              </w:rPr>
              <w:t>Causal</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4AB5988" w14:textId="77777777" w:rsidR="00DE2166" w:rsidRDefault="00000000">
            <w:r>
              <w:rPr>
                <w:sz w:val="17"/>
                <w:szCs w:val="17"/>
              </w:rPr>
              <w:t>E53.8, D51 codes; low B12 or high methylmalonic acid; metformin or PPI use; B12 replacement</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C96B9C1" w14:textId="77777777" w:rsidR="00DE2166" w:rsidRDefault="00000000">
            <w:r>
              <w:rPr>
                <w:sz w:val="17"/>
                <w:szCs w:val="17"/>
              </w:rPr>
              <w:t>Low B12 near index, or resolution after replacement</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D610AFC" w14:textId="77777777" w:rsidR="00DE2166" w:rsidRDefault="00000000">
            <w:r>
              <w:rPr>
                <w:sz w:val="17"/>
                <w:szCs w:val="17"/>
              </w:rPr>
              <w:t>S2, with S1</w:t>
            </w:r>
          </w:p>
        </w:tc>
      </w:tr>
      <w:tr w:rsidR="00DE2166" w14:paraId="50EBA01A"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F2B1EFF" w14:textId="77777777" w:rsidR="00DE2166" w:rsidRDefault="00000000">
            <w:r>
              <w:rPr>
                <w:sz w:val="17"/>
                <w:szCs w:val="17"/>
              </w:rPr>
              <w:t>Vitamin D deficiency</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4511785" w14:textId="77777777" w:rsidR="00DE2166" w:rsidRDefault="00000000">
            <w:r>
              <w:rPr>
                <w:sz w:val="17"/>
                <w:szCs w:val="17"/>
              </w:rPr>
              <w:t>Causal (weak evidence)</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26001EF6" w14:textId="77777777" w:rsidR="00DE2166" w:rsidRDefault="00000000">
            <w:r>
              <w:rPr>
                <w:sz w:val="17"/>
                <w:szCs w:val="17"/>
              </w:rPr>
              <w:t>E55 codes; low 25-hydroxyvitamin D; supplementation</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DB08E71" w14:textId="77777777" w:rsidR="00DE2166" w:rsidRDefault="00000000">
            <w:r>
              <w:rPr>
                <w:sz w:val="17"/>
                <w:szCs w:val="17"/>
              </w:rPr>
              <w:t>Low 25-hydroxyvitamin D near index</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29558568" w14:textId="77777777" w:rsidR="00DE2166" w:rsidRDefault="00000000">
            <w:r>
              <w:rPr>
                <w:sz w:val="17"/>
                <w:szCs w:val="17"/>
              </w:rPr>
              <w:t>S2, reported separately</w:t>
            </w:r>
          </w:p>
        </w:tc>
      </w:tr>
      <w:tr w:rsidR="00DE2166" w14:paraId="401394F1"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A69DD8F" w14:textId="77777777" w:rsidR="00DE2166" w:rsidRDefault="00000000">
            <w:r>
              <w:rPr>
                <w:sz w:val="17"/>
                <w:szCs w:val="17"/>
              </w:rPr>
              <w:t>Hypercalcemia</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A65A82A" w14:textId="77777777" w:rsidR="00DE2166" w:rsidRDefault="00000000">
            <w:r>
              <w:rPr>
                <w:sz w:val="17"/>
                <w:szCs w:val="17"/>
              </w:rPr>
              <w:t>Causal</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8F13EC8" w14:textId="77777777" w:rsidR="00DE2166" w:rsidRDefault="00000000">
            <w:r>
              <w:rPr>
                <w:sz w:val="17"/>
                <w:szCs w:val="17"/>
              </w:rPr>
              <w:t>E83.52 code; high serum calcium; hyperparathyroidism (E21); malignancy</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1A024B3C" w14:textId="77777777" w:rsidR="00DE2166" w:rsidRDefault="00000000">
            <w:r>
              <w:rPr>
                <w:sz w:val="17"/>
                <w:szCs w:val="17"/>
              </w:rPr>
              <w:t>High calcium near index, or resolution after correction</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50D08B3" w14:textId="77777777" w:rsidR="00DE2166" w:rsidRDefault="00000000">
            <w:r>
              <w:rPr>
                <w:sz w:val="17"/>
                <w:szCs w:val="17"/>
              </w:rPr>
              <w:t>S2, with S1</w:t>
            </w:r>
          </w:p>
        </w:tc>
      </w:tr>
      <w:tr w:rsidR="00DE2166" w14:paraId="7F622778"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A45BA31" w14:textId="77777777" w:rsidR="00DE2166" w:rsidRDefault="00000000">
            <w:r>
              <w:rPr>
                <w:sz w:val="17"/>
                <w:szCs w:val="17"/>
              </w:rPr>
              <w:t>Parkinson's disease</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004BF11" w14:textId="77777777" w:rsidR="00DE2166" w:rsidRDefault="00000000">
            <w:r>
              <w:rPr>
                <w:sz w:val="17"/>
                <w:szCs w:val="17"/>
              </w:rPr>
              <w:t>Causal (prodromal)</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0122E425" w14:textId="77777777" w:rsidR="00DE2166" w:rsidRDefault="00000000">
            <w:r>
              <w:rPr>
                <w:sz w:val="17"/>
                <w:szCs w:val="17"/>
              </w:rPr>
              <w:t>REM sleep behavior disorder, anosmia, constipation, tremor, late-onset depression</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2970163" w14:textId="77777777" w:rsidR="00DE2166" w:rsidRDefault="00000000">
            <w:r>
              <w:rPr>
                <w:sz w:val="17"/>
                <w:szCs w:val="17"/>
              </w:rPr>
              <w:t>Parkinson's diagnosis (G20) within [placeholder: 5] years after index</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61CF14E" w14:textId="77777777" w:rsidR="00DE2166" w:rsidRDefault="00000000">
            <w:r>
              <w:rPr>
                <w:sz w:val="17"/>
                <w:szCs w:val="17"/>
              </w:rPr>
              <w:t>S1 and S2</w:t>
            </w:r>
          </w:p>
        </w:tc>
      </w:tr>
      <w:tr w:rsidR="00DE2166" w14:paraId="7C84FD5E"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3911EED" w14:textId="77777777" w:rsidR="00DE2166" w:rsidRDefault="00000000">
            <w:r>
              <w:rPr>
                <w:sz w:val="17"/>
                <w:szCs w:val="17"/>
              </w:rPr>
              <w:t>Bipolar disorder</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215C5F83" w14:textId="77777777" w:rsidR="00DE2166" w:rsidRDefault="00000000">
            <w:r>
              <w:rPr>
                <w:sz w:val="17"/>
                <w:szCs w:val="17"/>
              </w:rPr>
              <w:t>Mimic</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FC8F057" w14:textId="77777777" w:rsidR="00DE2166" w:rsidRDefault="00000000">
            <w:r>
              <w:rPr>
                <w:sz w:val="17"/>
                <w:szCs w:val="17"/>
              </w:rPr>
              <w:t>Early onset, antidepressant-emergent hypomania, family history, mood stabilizers or antipsychotics</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0AB92BF3" w14:textId="77777777" w:rsidR="00DE2166" w:rsidRDefault="00000000">
            <w:r>
              <w:rPr>
                <w:sz w:val="17"/>
                <w:szCs w:val="17"/>
              </w:rPr>
              <w:t>Bipolar diagnosis (F31) within [placeholder: 5] years after index</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CD7C3F1" w14:textId="77777777" w:rsidR="00DE2166" w:rsidRDefault="00000000">
            <w:r>
              <w:rPr>
                <w:sz w:val="17"/>
                <w:szCs w:val="17"/>
              </w:rPr>
              <w:t>S1</w:t>
            </w:r>
          </w:p>
        </w:tc>
      </w:tr>
      <w:tr w:rsidR="00DE2166" w14:paraId="31B06E0A"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14F8F311" w14:textId="77777777" w:rsidR="00DE2166" w:rsidRDefault="00000000">
            <w:r>
              <w:rPr>
                <w:sz w:val="17"/>
                <w:szCs w:val="17"/>
              </w:rPr>
              <w:t>Anxiety disorders and PTSD</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2D9186A7" w14:textId="77777777" w:rsidR="00DE2166" w:rsidRDefault="00000000">
            <w:r>
              <w:rPr>
                <w:sz w:val="17"/>
                <w:szCs w:val="17"/>
              </w:rPr>
              <w:t>Mimic and contributor</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2E78657" w14:textId="77777777" w:rsidR="00DE2166" w:rsidRDefault="00000000">
            <w:r>
              <w:rPr>
                <w:sz w:val="17"/>
                <w:szCs w:val="17"/>
              </w:rPr>
              <w:t>F41, F43.1 codes; trauma exposure; anxiolytics; sleep complaints</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71990FF" w14:textId="77777777" w:rsidR="00DE2166" w:rsidRDefault="00000000">
            <w:r>
              <w:rPr>
                <w:sz w:val="17"/>
                <w:szCs w:val="17"/>
              </w:rPr>
              <w:t>Anxiety or PTSD diagnosis on or within [placeholder: 1] year after index</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ADC54DD" w14:textId="77777777" w:rsidR="00DE2166" w:rsidRDefault="00000000">
            <w:r>
              <w:rPr>
                <w:sz w:val="17"/>
                <w:szCs w:val="17"/>
              </w:rPr>
              <w:t>S1 and S2</w:t>
            </w:r>
          </w:p>
        </w:tc>
      </w:tr>
      <w:tr w:rsidR="00DE2166" w14:paraId="044C0A56"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587A419C" w14:textId="77777777" w:rsidR="00DE2166" w:rsidRDefault="00000000">
            <w:r>
              <w:rPr>
                <w:sz w:val="17"/>
                <w:szCs w:val="17"/>
              </w:rPr>
              <w:t>ADHD</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533DE8D" w14:textId="77777777" w:rsidR="00DE2166" w:rsidRDefault="00000000">
            <w:r>
              <w:rPr>
                <w:sz w:val="17"/>
                <w:szCs w:val="17"/>
              </w:rPr>
              <w:t>Mimic</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11EDC21C" w14:textId="77777777" w:rsidR="00DE2166" w:rsidRDefault="00000000">
            <w:r>
              <w:rPr>
                <w:sz w:val="17"/>
                <w:szCs w:val="17"/>
              </w:rPr>
              <w:t>F90 codes; childhood-onset attention problems; stimulant prescriptions</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693C5B73" w14:textId="77777777" w:rsidR="00DE2166" w:rsidRDefault="00000000">
            <w:r>
              <w:rPr>
                <w:sz w:val="17"/>
                <w:szCs w:val="17"/>
              </w:rPr>
              <w:t>ADHD diagnosis on or within [placeholder: 1] year after index</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4B8D3C38" w14:textId="77777777" w:rsidR="00DE2166" w:rsidRDefault="00000000">
            <w:r>
              <w:rPr>
                <w:sz w:val="17"/>
                <w:szCs w:val="17"/>
              </w:rPr>
              <w:t>S1</w:t>
            </w:r>
          </w:p>
        </w:tc>
      </w:tr>
      <w:tr w:rsidR="00DE2166" w14:paraId="176CC717" w14:textId="77777777">
        <w:tblPrEx>
          <w:tblCellMar>
            <w:top w:w="0" w:type="dxa"/>
            <w:bottom w:w="0" w:type="dxa"/>
          </w:tblCellMar>
        </w:tblPrEx>
        <w:tc>
          <w:tcPr>
            <w:tcW w:w="14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4353E7C" w14:textId="77777777" w:rsidR="00DE2166" w:rsidRDefault="00000000">
            <w:r>
              <w:rPr>
                <w:sz w:val="17"/>
                <w:szCs w:val="17"/>
              </w:rPr>
              <w:t>Substance use disorders</w:t>
            </w:r>
          </w:p>
        </w:tc>
        <w:tc>
          <w:tcPr>
            <w:tcW w:w="105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39AB128F" w14:textId="77777777" w:rsidR="00DE2166" w:rsidRDefault="00000000">
            <w:r>
              <w:rPr>
                <w:sz w:val="17"/>
                <w:szCs w:val="17"/>
              </w:rPr>
              <w:t>Causal</w:t>
            </w:r>
          </w:p>
        </w:tc>
        <w:tc>
          <w:tcPr>
            <w:tcW w:w="29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72F3C6FF" w14:textId="77777777" w:rsidR="00DE2166" w:rsidRDefault="00000000">
            <w:r>
              <w:rPr>
                <w:sz w:val="17"/>
                <w:szCs w:val="17"/>
              </w:rPr>
              <w:t>F10 to F19 codes; intoxication or withdrawal within 30 and 90 days before index</w:t>
            </w:r>
          </w:p>
        </w:tc>
        <w:tc>
          <w:tcPr>
            <w:tcW w:w="256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0D2616AE" w14:textId="77777777" w:rsidR="00DE2166" w:rsidRDefault="00000000">
            <w:r>
              <w:rPr>
                <w:sz w:val="17"/>
                <w:szCs w:val="17"/>
              </w:rPr>
              <w:t>Coded substance-induced depressive disorder, or resolution after abstinence</w:t>
            </w:r>
          </w:p>
        </w:tc>
        <w:tc>
          <w:tcPr>
            <w:tcW w:w="1400" w:type="dxa"/>
            <w:tcBorders>
              <w:top w:val="single" w:sz="4" w:space="0" w:color="999999"/>
              <w:left w:val="single" w:sz="4" w:space="0" w:color="999999"/>
              <w:bottom w:val="single" w:sz="4" w:space="0" w:color="999999"/>
              <w:right w:val="single" w:sz="4" w:space="0" w:color="999999"/>
            </w:tcBorders>
            <w:tcMar>
              <w:top w:w="50" w:type="dxa"/>
              <w:left w:w="80" w:type="dxa"/>
              <w:bottom w:w="50" w:type="dxa"/>
              <w:right w:w="80" w:type="dxa"/>
            </w:tcMar>
          </w:tcPr>
          <w:p w14:paraId="0940D660" w14:textId="77777777" w:rsidR="00DE2166" w:rsidRDefault="00000000">
            <w:r>
              <w:rPr>
                <w:sz w:val="17"/>
                <w:szCs w:val="17"/>
              </w:rPr>
              <w:t>S2, with S1</w:t>
            </w:r>
          </w:p>
        </w:tc>
      </w:tr>
    </w:tbl>
    <w:p w14:paraId="431E8942" w14:textId="77777777" w:rsidR="00DE2166" w:rsidRDefault="00000000">
      <w:pPr>
        <w:pStyle w:val="Heading1"/>
        <w:spacing w:before="240" w:after="160"/>
      </w:pPr>
      <w:r>
        <w:t>Diagnostic Targets</w:t>
      </w:r>
    </w:p>
    <w:p w14:paraId="058482E5" w14:textId="77777777" w:rsidR="00DE2166" w:rsidRDefault="00000000">
      <w:pPr>
        <w:spacing w:after="160" w:line="300" w:lineRule="auto"/>
        <w:jc w:val="both"/>
      </w:pPr>
      <w:r>
        <w:t xml:space="preserve">DEMI is applied as a differential diagnosis engine. A separate target is specified for MDD and for each of the eight alternatives. For each patient with feature vector x, DEMI returns the probability of each target, </w:t>
      </w:r>
      <w:proofErr w:type="gramStart"/>
      <w:r>
        <w:t>P(</w:t>
      </w:r>
      <w:proofErr w:type="gramEnd"/>
      <w:r>
        <w:t xml:space="preserve">MDD | x) and </w:t>
      </w:r>
      <w:proofErr w:type="gramStart"/>
      <w:r>
        <w:t>P(</w:t>
      </w:r>
      <w:proofErr w:type="gramEnd"/>
      <w:r>
        <w:t>Ak | x) for alternatives k = 1, ..., 8. Because the alternatives can co-occur with one another and with MDD, the targets are not mutually exclusive, and a patient may screen positive for more than one alternative.</w:t>
      </w:r>
    </w:p>
    <w:p w14:paraId="479E3D78" w14:textId="77777777" w:rsidR="00DE2166" w:rsidRDefault="00000000">
      <w:pPr>
        <w:pStyle w:val="Heading1"/>
        <w:spacing w:before="240" w:after="160"/>
      </w:pPr>
      <w:r>
        <w:t>Stage-One Screening Scores</w:t>
      </w:r>
    </w:p>
    <w:p w14:paraId="1CA8F9DD" w14:textId="77777777" w:rsidR="00DE2166" w:rsidRDefault="00000000">
      <w:pPr>
        <w:pStyle w:val="Heading2"/>
        <w:spacing w:before="200" w:after="120"/>
      </w:pPr>
      <w:r>
        <w:t>Score 1: Competing-Diagnosis Share</w:t>
      </w:r>
    </w:p>
    <w:p w14:paraId="198661E3" w14:textId="77777777" w:rsidR="00DE2166" w:rsidRDefault="00000000">
      <w:pPr>
        <w:spacing w:after="160" w:line="300" w:lineRule="auto"/>
        <w:jc w:val="both"/>
      </w:pPr>
      <w:r>
        <w:t>For each alternative k, the first score is the probability assigned to that alternative relative to MDD:</w:t>
      </w:r>
    </w:p>
    <w:p w14:paraId="536609B2" w14:textId="77777777" w:rsidR="00DE2166" w:rsidRDefault="00000000">
      <w:pPr>
        <w:spacing w:before="80" w:after="160"/>
        <w:jc w:val="center"/>
      </w:pPr>
      <w:r>
        <w:rPr>
          <w:i/>
          <w:iCs/>
        </w:rPr>
        <w:lastRenderedPageBreak/>
        <w:t xml:space="preserve">S1k(x) = </w:t>
      </w:r>
      <w:proofErr w:type="gramStart"/>
      <w:r>
        <w:rPr>
          <w:i/>
          <w:iCs/>
        </w:rPr>
        <w:t>P(</w:t>
      </w:r>
      <w:proofErr w:type="gramEnd"/>
      <w:r>
        <w:rPr>
          <w:i/>
          <w:iCs/>
        </w:rPr>
        <w:t xml:space="preserve">Ak | x) / [ </w:t>
      </w:r>
      <w:proofErr w:type="gramStart"/>
      <w:r>
        <w:rPr>
          <w:i/>
          <w:iCs/>
        </w:rPr>
        <w:t>P(</w:t>
      </w:r>
      <w:proofErr w:type="gramEnd"/>
      <w:r>
        <w:rPr>
          <w:i/>
          <w:iCs/>
        </w:rPr>
        <w:t xml:space="preserve">Ak | x) + </w:t>
      </w:r>
      <w:proofErr w:type="gramStart"/>
      <w:r>
        <w:rPr>
          <w:i/>
          <w:iCs/>
        </w:rPr>
        <w:t>P(</w:t>
      </w:r>
      <w:proofErr w:type="gramEnd"/>
      <w:r>
        <w:rPr>
          <w:i/>
          <w:iCs/>
        </w:rPr>
        <w:t>MDD | x</w:t>
      </w:r>
      <w:proofErr w:type="gramStart"/>
      <w:r>
        <w:rPr>
          <w:i/>
          <w:iCs/>
        </w:rPr>
        <w:t>) ]</w:t>
      </w:r>
      <w:proofErr w:type="gramEnd"/>
    </w:p>
    <w:p w14:paraId="0C8ECF67" w14:textId="77777777" w:rsidR="00DE2166" w:rsidRDefault="00000000">
      <w:pPr>
        <w:spacing w:after="160" w:line="300" w:lineRule="auto"/>
        <w:jc w:val="both"/>
      </w:pPr>
      <w:r>
        <w:t>A pairwise share is used rather than a share among all nine targets, because the alternatives are not mutually exclusive; a patient with both hypothyroidism and an anxiety disorder should not have either signal diluted by the other. S1k identifies patients whose overall record resembles that of patients who carry alternative k.</w:t>
      </w:r>
    </w:p>
    <w:p w14:paraId="5DB75ECF" w14:textId="77777777" w:rsidR="00DE2166" w:rsidRDefault="00000000">
      <w:pPr>
        <w:pStyle w:val="Heading2"/>
        <w:spacing w:before="200" w:after="120"/>
      </w:pPr>
      <w:r>
        <w:t>Score 2: Counterfactual Attributable Fraction</w:t>
      </w:r>
    </w:p>
    <w:p w14:paraId="5EBD1479" w14:textId="77777777" w:rsidR="00DE2166" w:rsidRDefault="00000000">
      <w:pPr>
        <w:spacing w:after="160" w:line="300" w:lineRule="auto"/>
        <w:jc w:val="both"/>
      </w:pPr>
      <w:r>
        <w:t xml:space="preserve">The second score applies </w:t>
      </w:r>
      <w:proofErr w:type="gramStart"/>
      <w:r>
        <w:t>attribution science</w:t>
      </w:r>
      <w:proofErr w:type="gramEnd"/>
      <w:r>
        <w:t xml:space="preserve"> to each causal contributor. DEMI computes the probability of a depressive disorder twice: once with the patient's observed features (P1), and once with the features that define alternative k (its diagnosis codes, abnormal laboratory values, and exposure markers) set to absent, while all other features are held at their observed values (P</w:t>
      </w:r>
      <w:proofErr w:type="gramStart"/>
      <w:r>
        <w:t>0,k</w:t>
      </w:r>
      <w:proofErr w:type="gramEnd"/>
      <w:r>
        <w:t>). Symptoms that the alternative may produce, such as fatigue or sleep disturbance, are left at their observed values. The attributable fraction is:</w:t>
      </w:r>
    </w:p>
    <w:p w14:paraId="16C747AB" w14:textId="77777777" w:rsidR="00DE2166" w:rsidRDefault="00000000">
      <w:pPr>
        <w:spacing w:before="80" w:after="160"/>
        <w:jc w:val="center"/>
      </w:pPr>
      <w:r>
        <w:rPr>
          <w:i/>
          <w:iCs/>
        </w:rPr>
        <w:t xml:space="preserve">S2k(x) = </w:t>
      </w:r>
      <w:proofErr w:type="gramStart"/>
      <w:r>
        <w:rPr>
          <w:i/>
          <w:iCs/>
        </w:rPr>
        <w:t>max( 0</w:t>
      </w:r>
      <w:proofErr w:type="gramEnd"/>
      <w:r>
        <w:rPr>
          <w:i/>
          <w:iCs/>
        </w:rPr>
        <w:t>, 1 − P</w:t>
      </w:r>
      <w:proofErr w:type="gramStart"/>
      <w:r>
        <w:rPr>
          <w:i/>
          <w:iCs/>
        </w:rPr>
        <w:t>0,k</w:t>
      </w:r>
      <w:proofErr w:type="gramEnd"/>
      <w:r>
        <w:rPr>
          <w:i/>
          <w:iCs/>
        </w:rPr>
        <w:t>(x) / P1(x</w:t>
      </w:r>
      <w:proofErr w:type="gramStart"/>
      <w:r>
        <w:rPr>
          <w:i/>
          <w:iCs/>
        </w:rPr>
        <w:t>) )</w:t>
      </w:r>
      <w:proofErr w:type="gramEnd"/>
    </w:p>
    <w:p w14:paraId="76151933" w14:textId="77777777" w:rsidR="00DE2166" w:rsidRDefault="00000000">
      <w:pPr>
        <w:spacing w:after="160" w:line="300" w:lineRule="auto"/>
        <w:jc w:val="both"/>
      </w:pPr>
      <w:r>
        <w:t>Under the assumptions of no unmeasured confounding and monotonicity (the condition does not reduce the probability of depression), S2k equals the probability of necessity: the probability that this patient's depression would not have occurred without alternative k (Tian and Pearl, 2000). When the assumptions are relaxed, S2k remains a lower bound on that probability. S2k may understate the role of a condition that brings forward a depression that would eventually have occurred (Greenland and Robins, 1988); this is acceptable in a screening context, where stage two resolves such cases. Treatment markers are handled with care: active, adequate treatment (for example, levothyroxine with a normal TSH) is encoded as a separate feature so that a treated condition is not attributed the same effect as an untreated one.</w:t>
      </w:r>
    </w:p>
    <w:p w14:paraId="2274AE91" w14:textId="77777777" w:rsidR="00DE2166" w:rsidRDefault="00000000">
      <w:pPr>
        <w:spacing w:after="160" w:line="300" w:lineRule="auto"/>
        <w:jc w:val="both"/>
      </w:pPr>
      <w:r>
        <w:t>Because DEMI combines indirect effects with a noisy-OR formula, the contribution of each alternative can be separated even when several are present in the same patient. This decomposition is passed to stage two.</w:t>
      </w:r>
    </w:p>
    <w:p w14:paraId="7159C006" w14:textId="77777777" w:rsidR="00DE2166" w:rsidRDefault="00000000">
      <w:pPr>
        <w:pStyle w:val="Heading2"/>
        <w:spacing w:before="200" w:after="120"/>
      </w:pPr>
      <w:r>
        <w:t>Screening Rule</w:t>
      </w:r>
    </w:p>
    <w:p w14:paraId="1B288DBC" w14:textId="77777777" w:rsidR="00DE2166" w:rsidRDefault="00000000">
      <w:pPr>
        <w:spacing w:after="160" w:line="300" w:lineRule="auto"/>
        <w:jc w:val="both"/>
      </w:pPr>
      <w:r>
        <w:t>A patient screens positive for alternative k if either applicable score reaches its threshold:</w:t>
      </w:r>
    </w:p>
    <w:p w14:paraId="7DD219F8" w14:textId="77777777" w:rsidR="00DE2166" w:rsidRDefault="00000000">
      <w:pPr>
        <w:spacing w:before="80" w:after="160"/>
        <w:jc w:val="center"/>
      </w:pPr>
      <w:r>
        <w:rPr>
          <w:i/>
          <w:iCs/>
        </w:rPr>
        <w:t xml:space="preserve">Positive for </w:t>
      </w:r>
      <w:proofErr w:type="gramStart"/>
      <w:r>
        <w:rPr>
          <w:i/>
          <w:iCs/>
        </w:rPr>
        <w:t>Ak  if</w:t>
      </w:r>
      <w:proofErr w:type="gramEnd"/>
      <w:r>
        <w:rPr>
          <w:i/>
          <w:iCs/>
        </w:rPr>
        <w:t xml:space="preserve">  S1k(x) ≥ τ1</w:t>
      </w:r>
      <w:proofErr w:type="gramStart"/>
      <w:r>
        <w:rPr>
          <w:i/>
          <w:iCs/>
        </w:rPr>
        <w:t>k  or</w:t>
      </w:r>
      <w:proofErr w:type="gramEnd"/>
      <w:r>
        <w:rPr>
          <w:i/>
          <w:iCs/>
        </w:rPr>
        <w:t xml:space="preserve">  S2k(x) ≥ τ2k</w:t>
      </w:r>
    </w:p>
    <w:p w14:paraId="003B3389" w14:textId="77777777" w:rsidR="00DE2166" w:rsidRDefault="00000000">
      <w:pPr>
        <w:spacing w:after="160" w:line="300" w:lineRule="auto"/>
        <w:jc w:val="both"/>
      </w:pPr>
      <w:r>
        <w:t>For mimics where only S1 applies (bipolar disorder and ADHD), the rule reduces to the first condition. A patient screens positive overall if positive for any alternative. The disjunctive rule is used because the two scores fail in different ways: S1 misses alternatives that are under-coded, and S2 misses alternatives whose defining features are weakly represented in the knowledgebase.</w:t>
      </w:r>
    </w:p>
    <w:p w14:paraId="7A34CCBB" w14:textId="77777777" w:rsidR="00DE2166" w:rsidRDefault="00000000" w:rsidP="004F33AD">
      <w:pPr>
        <w:pStyle w:val="Heading1"/>
        <w:keepNext/>
        <w:spacing w:before="240" w:after="160"/>
      </w:pPr>
      <w:r>
        <w:lastRenderedPageBreak/>
        <w:t>Reference Standards</w:t>
      </w:r>
    </w:p>
    <w:p w14:paraId="569F2A74" w14:textId="77777777" w:rsidR="00DE2166" w:rsidRDefault="00000000">
      <w:pPr>
        <w:spacing w:after="160" w:line="300" w:lineRule="auto"/>
        <w:jc w:val="both"/>
      </w:pPr>
      <w:r>
        <w:t>Table 1 gives the reference standard for each alternative. Two types are used. For alternatives that are typically undiagnosed at the index date (bipolar disorder, Parkinson's disease, and to a lesser degree ADHD and anxiety disorders), the reference standard is a later diagnosis within a fixed follow-up window, which directly measures the screen's ability to anticipate a missed diagnosis (Ratheesh et al., 2017). For medical causes and substance use, the reference standard combines laboratory or coded evidence near the index date with a course-defined criterion: depressive diagnoses and new antidepressant prescriptions cease within [placeholder: 6] months after the condition is corrected or abstinence is documented.</w:t>
      </w:r>
    </w:p>
    <w:p w14:paraId="332C8A6B" w14:textId="77777777" w:rsidR="00DE2166" w:rsidRDefault="00000000">
      <w:pPr>
        <w:spacing w:after="160" w:line="300" w:lineRule="auto"/>
        <w:jc w:val="both"/>
      </w:pPr>
      <w:r>
        <w:t>All reference standards are incomplete: some patients with the alternative never receive the code, the test, or the follow-up. We therefore treat each alternative as a problem of learning from positive and unlabeled data (Elkan and Noto, 2008). Patients not meeting the reference definition are treated as unlabeled rather than as confirmed negatives. Sensitivity is estimated directly from reference positives. Specificity and positive predictive value are estimated using the class prior πk (the estimated proportion of screened patients with alternative k), derived from the positive-unlabeled framework and checked against published prevalence estimates.</w:t>
      </w:r>
    </w:p>
    <w:p w14:paraId="4EC70263" w14:textId="77777777" w:rsidR="00DE2166" w:rsidRDefault="00000000">
      <w:pPr>
        <w:pStyle w:val="Heading1"/>
        <w:spacing w:before="240" w:after="160"/>
      </w:pPr>
      <w:r>
        <w:t>Threshold Setting</w:t>
      </w:r>
    </w:p>
    <w:p w14:paraId="43B36FCC" w14:textId="77777777" w:rsidR="00DE2166" w:rsidRDefault="00000000">
      <w:pPr>
        <w:spacing w:after="160" w:line="300" w:lineRule="auto"/>
        <w:jc w:val="both"/>
      </w:pPr>
      <w:r>
        <w:t>With eight alternatives and up to two scores each, the screen has up to sixteen thresholds. They are set in the All of Us tuning partition in five steps and then locked before validation.</w:t>
      </w:r>
    </w:p>
    <w:p w14:paraId="55D4CB29" w14:textId="77777777" w:rsidR="00DE2166" w:rsidRDefault="00000000">
      <w:pPr>
        <w:pStyle w:val="Heading2"/>
        <w:spacing w:before="200" w:after="120"/>
      </w:pPr>
      <w:r>
        <w:t>Step 1: Principled Starting Values</w:t>
      </w:r>
    </w:p>
    <w:p w14:paraId="5F82CCDE" w14:textId="77777777" w:rsidR="00DE2166" w:rsidRDefault="00000000">
      <w:pPr>
        <w:pStyle w:val="ListParagraph"/>
        <w:numPr>
          <w:ilvl w:val="0"/>
          <w:numId w:val="2"/>
        </w:numPr>
        <w:spacing w:after="80" w:line="280" w:lineRule="auto"/>
      </w:pPr>
      <w:r>
        <w:rPr>
          <w:b/>
          <w:bCs/>
        </w:rPr>
        <w:t xml:space="preserve">τ2k = 0.50 </w:t>
      </w:r>
      <w:r>
        <w:t>for every causal contributor. An attributable fraction of 0.50 means that, under the stated assumptions, alternative k is more likely than not a necessary cause of the depression, which corresponds to a patient-level relative risk of 2.0.</w:t>
      </w:r>
    </w:p>
    <w:p w14:paraId="37FA4CD9" w14:textId="77777777" w:rsidR="00DE2166" w:rsidRDefault="00000000">
      <w:pPr>
        <w:pStyle w:val="ListParagraph"/>
        <w:numPr>
          <w:ilvl w:val="0"/>
          <w:numId w:val="2"/>
        </w:numPr>
        <w:spacing w:after="80" w:line="280" w:lineRule="auto"/>
      </w:pPr>
      <w:r>
        <w:rPr>
          <w:b/>
          <w:bCs/>
        </w:rPr>
        <w:t xml:space="preserve">τ1k = πk, </w:t>
      </w:r>
      <w:r>
        <w:t>the prior share of alternative k among patients with an MDD diagnosis. A patient whose S1k exceeds πk has a record that raises the probability of alternative k above its base rate.</w:t>
      </w:r>
    </w:p>
    <w:p w14:paraId="1862DF66" w14:textId="77777777" w:rsidR="00DE2166" w:rsidRDefault="00000000">
      <w:pPr>
        <w:spacing w:after="160" w:line="300" w:lineRule="auto"/>
        <w:jc w:val="both"/>
      </w:pPr>
      <w:r>
        <w:t>These defaults are reported as a reference point against which the tuned thresholds are compared.</w:t>
      </w:r>
    </w:p>
    <w:p w14:paraId="2421193C" w14:textId="77777777" w:rsidR="00DE2166" w:rsidRDefault="00000000">
      <w:pPr>
        <w:pStyle w:val="Heading2"/>
        <w:spacing w:before="200" w:after="120"/>
      </w:pPr>
      <w:r>
        <w:t>Step 2: Sensitivity Targets by Alternative</w:t>
      </w:r>
    </w:p>
    <w:p w14:paraId="24D1C9B9" w14:textId="77777777" w:rsidR="00DE2166" w:rsidRDefault="00000000">
      <w:pPr>
        <w:spacing w:after="160" w:line="300" w:lineRule="auto"/>
        <w:jc w:val="both"/>
      </w:pPr>
      <w:r>
        <w:t>Each alternative has its own minimum sensitivity, reflecting the cost of missing it. We propose [placeholder: 0.90] for bipolar disorder, hypercalcemia, and substance use disorders, where a missed diagnosis carries the greatest risk (antidepressant-induced mania, untreated parathyroid disease or malignancy, and withdrawal-related harm), and [placeholder: 0.80] for the remaining alternatives. To guard against optimistic estimates, a threshold pair qualifies only if the lower bound of the 95% confidence interval of its sensitivity meets the target minus [placeholder: 0.05].</w:t>
      </w:r>
    </w:p>
    <w:p w14:paraId="1F347728" w14:textId="77777777" w:rsidR="00DE2166" w:rsidRDefault="00000000">
      <w:pPr>
        <w:pStyle w:val="Heading2"/>
        <w:spacing w:before="200" w:after="120"/>
      </w:pPr>
      <w:r>
        <w:lastRenderedPageBreak/>
        <w:t>Step 3: Thresholds for Each Alternative</w:t>
      </w:r>
    </w:p>
    <w:p w14:paraId="3ACBEECE" w14:textId="77777777" w:rsidR="00DE2166" w:rsidRDefault="00000000">
      <w:pPr>
        <w:spacing w:after="160" w:line="300" w:lineRule="auto"/>
        <w:jc w:val="both"/>
      </w:pPr>
      <w:r>
        <w:t>For each alternative separately, we search a grid over the percentiles of S1k and S2k in the tuning data (1st to 99th percentile in steps of 1) and select, among pairs meeting the sensitivity target, the pair with the lowest screen-positive rate for that alternative. For each alternative we report sensitivity, screen-positive rate, and the number needed to evaluate (NNE), the expected number of stage-two evaluations per true case found:</w:t>
      </w:r>
    </w:p>
    <w:p w14:paraId="3C95344C" w14:textId="77777777" w:rsidR="00DE2166" w:rsidRDefault="00000000">
      <w:pPr>
        <w:spacing w:before="80" w:after="160"/>
        <w:jc w:val="center"/>
      </w:pPr>
      <w:proofErr w:type="spellStart"/>
      <w:r>
        <w:rPr>
          <w:i/>
          <w:iCs/>
        </w:rPr>
        <w:t>NNEk</w:t>
      </w:r>
      <w:proofErr w:type="spellEnd"/>
      <w:r>
        <w:rPr>
          <w:i/>
          <w:iCs/>
        </w:rPr>
        <w:t xml:space="preserve"> = Screen-positive rate for Ak / </w:t>
      </w:r>
      <w:proofErr w:type="gramStart"/>
      <w:r>
        <w:rPr>
          <w:i/>
          <w:iCs/>
        </w:rPr>
        <w:t>( π</w:t>
      </w:r>
      <w:proofErr w:type="gramEnd"/>
      <w:r>
        <w:rPr>
          <w:i/>
          <w:iCs/>
        </w:rPr>
        <w:t xml:space="preserve">k × </w:t>
      </w:r>
      <w:proofErr w:type="spellStart"/>
      <w:proofErr w:type="gramStart"/>
      <w:r>
        <w:rPr>
          <w:i/>
          <w:iCs/>
        </w:rPr>
        <w:t>Sensitivityk</w:t>
      </w:r>
      <w:proofErr w:type="spellEnd"/>
      <w:r>
        <w:rPr>
          <w:i/>
          <w:iCs/>
        </w:rPr>
        <w:t xml:space="preserve"> )</w:t>
      </w:r>
      <w:proofErr w:type="gramEnd"/>
    </w:p>
    <w:p w14:paraId="43040AD2" w14:textId="77777777" w:rsidR="00DE2166" w:rsidRDefault="00000000">
      <w:pPr>
        <w:pStyle w:val="Heading2"/>
        <w:spacing w:before="200" w:after="120"/>
      </w:pPr>
      <w:r>
        <w:t>Step 4: Joint Adjustment for Total Burden</w:t>
      </w:r>
    </w:p>
    <w:p w14:paraId="0D1FF182" w14:textId="77777777" w:rsidR="00DE2166" w:rsidRDefault="00000000">
      <w:pPr>
        <w:spacing w:after="160" w:line="300" w:lineRule="auto"/>
        <w:jc w:val="both"/>
      </w:pPr>
      <w:r>
        <w:t xml:space="preserve">Stage-two burden depends on the overall screen-positive rate, the proportion of patients positive for at least one alternative. Because positives overlap across alternatives, this rate is less than the sum of the per-alternative rates. Starting from the Step 3 thresholds, we apply coordinate descent: each alternative's threshold pair is raised in turn to the point that most reduces the overall positive rate without violating that alternative's sensitivity target, cycling until no further reduction is possible. This shifts the burden toward alternatives whose positives are already captured by other alternatives' flags. Where a site has a fixed capacity of C evaluations per N patients screened, the procedure instead maximizes the weighted average sensitivity across alternatives, </w:t>
      </w:r>
      <w:proofErr w:type="gramStart"/>
      <w:r>
        <w:t>weighting</w:t>
      </w:r>
      <w:proofErr w:type="gramEnd"/>
      <w:r>
        <w:t xml:space="preserve"> each by the Step 2 target, subject to an overall positive rate no greater than C/N.</w:t>
      </w:r>
    </w:p>
    <w:p w14:paraId="1D80CC30" w14:textId="77777777" w:rsidR="00DE2166" w:rsidRDefault="00000000">
      <w:pPr>
        <w:pStyle w:val="Heading2"/>
        <w:spacing w:before="200" w:after="120"/>
      </w:pPr>
      <w:r>
        <w:t>Step 5: Stability</w:t>
      </w:r>
    </w:p>
    <w:p w14:paraId="71261D9C" w14:textId="77777777" w:rsidR="00DE2166" w:rsidRDefault="00000000">
      <w:pPr>
        <w:spacing w:after="160" w:line="300" w:lineRule="auto"/>
        <w:jc w:val="both"/>
      </w:pPr>
      <w:r>
        <w:t>Threshold uncertainty is assessed with 1,000 bootstrap resamples of the tuning partition, repeating Steps 3 and 4 in each. We report the distribution of selected thresholds for each alternative and flag a threshold as unstable if its interquartile range spans more than [placeholder: 10] percentile points. Alternatives with few reference positives in the tuning data are expected to be the least stable; for these, the Step 1 defaults are retained unless the tuned values improve sensitivity in the bootstrap distribution.</w:t>
      </w:r>
    </w:p>
    <w:p w14:paraId="5E4AD125" w14:textId="77777777" w:rsidR="00DE2166" w:rsidRDefault="00000000">
      <w:pPr>
        <w:spacing w:before="200" w:after="100"/>
      </w:pPr>
      <w:r>
        <w:rPr>
          <w:b/>
          <w:bCs/>
        </w:rPr>
        <w:t>Table 2. Summary of threshold-setting rules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680"/>
        <w:gridCol w:w="3680"/>
      </w:tblGrid>
      <w:tr w:rsidR="00DE2166" w14:paraId="638D0F01" w14:textId="77777777">
        <w:tblPrEx>
          <w:tblCellMar>
            <w:top w:w="0" w:type="dxa"/>
            <w:bottom w:w="0" w:type="dxa"/>
          </w:tblCellMar>
        </w:tblPrEx>
        <w:trPr>
          <w:tblHeader/>
        </w:trPr>
        <w:tc>
          <w:tcPr>
            <w:tcW w:w="20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774672CC" w14:textId="77777777" w:rsidR="00DE2166" w:rsidRDefault="00000000">
            <w:r>
              <w:rPr>
                <w:b/>
                <w:bCs/>
                <w:sz w:val="20"/>
                <w:szCs w:val="20"/>
              </w:rPr>
              <w:t>Element</w:t>
            </w:r>
          </w:p>
        </w:tc>
        <w:tc>
          <w:tcPr>
            <w:tcW w:w="368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64AEEDB3" w14:textId="77777777" w:rsidR="00DE2166" w:rsidRDefault="00000000">
            <w:r>
              <w:rPr>
                <w:b/>
                <w:bCs/>
                <w:sz w:val="20"/>
                <w:szCs w:val="20"/>
              </w:rPr>
              <w:t>Rule</w:t>
            </w:r>
          </w:p>
        </w:tc>
        <w:tc>
          <w:tcPr>
            <w:tcW w:w="368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tcPr>
          <w:p w14:paraId="25E1D3F4" w14:textId="77777777" w:rsidR="00DE2166" w:rsidRDefault="00000000">
            <w:r>
              <w:rPr>
                <w:b/>
                <w:bCs/>
                <w:sz w:val="20"/>
                <w:szCs w:val="20"/>
              </w:rPr>
              <w:t>Rationale</w:t>
            </w:r>
          </w:p>
        </w:tc>
      </w:tr>
      <w:tr w:rsidR="00DE2166" w14:paraId="42AC4DF0"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8591A0" w14:textId="77777777" w:rsidR="00DE2166" w:rsidRDefault="00000000">
            <w:r>
              <w:rPr>
                <w:sz w:val="20"/>
                <w:szCs w:val="20"/>
              </w:rPr>
              <w:t>Default τ2k</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0306F0E" w14:textId="77777777" w:rsidR="00DE2166" w:rsidRDefault="00000000">
            <w:r>
              <w:rPr>
                <w:sz w:val="20"/>
                <w:szCs w:val="20"/>
              </w:rPr>
              <w:t>0.50</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215450" w14:textId="77777777" w:rsidR="00DE2166" w:rsidRDefault="00000000">
            <w:r>
              <w:rPr>
                <w:sz w:val="20"/>
                <w:szCs w:val="20"/>
              </w:rPr>
              <w:t>Alternative more likely than not a necessary cause (relative risk of 2.0)</w:t>
            </w:r>
          </w:p>
        </w:tc>
      </w:tr>
      <w:tr w:rsidR="00DE2166" w14:paraId="654BEB73"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736D7F6" w14:textId="77777777" w:rsidR="00DE2166" w:rsidRDefault="00000000">
            <w:r>
              <w:rPr>
                <w:sz w:val="20"/>
                <w:szCs w:val="20"/>
              </w:rPr>
              <w:t>Default τ1k</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07E829" w14:textId="77777777" w:rsidR="00DE2166" w:rsidRDefault="00000000">
            <w:r>
              <w:rPr>
                <w:sz w:val="20"/>
                <w:szCs w:val="20"/>
              </w:rPr>
              <w:t>Prior share πk</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624708" w14:textId="77777777" w:rsidR="00DE2166" w:rsidRDefault="00000000">
            <w:r>
              <w:rPr>
                <w:sz w:val="20"/>
                <w:szCs w:val="20"/>
              </w:rPr>
              <w:t>Evidence raises the alternative above its base rate</w:t>
            </w:r>
          </w:p>
        </w:tc>
      </w:tr>
      <w:tr w:rsidR="00DE2166" w14:paraId="65AA8CAD"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948A0C" w14:textId="77777777" w:rsidR="00DE2166" w:rsidRDefault="00000000">
            <w:r>
              <w:rPr>
                <w:sz w:val="20"/>
                <w:szCs w:val="20"/>
              </w:rPr>
              <w:t>Sensitivity targets</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980BE15" w14:textId="77777777" w:rsidR="00DE2166" w:rsidRDefault="00000000">
            <w:r>
              <w:rPr>
                <w:sz w:val="20"/>
                <w:szCs w:val="20"/>
              </w:rPr>
              <w:t>[0.90] for high-risk alternatives, [0.80] for others; lower 95% CI within [0.05]</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B090FA9" w14:textId="77777777" w:rsidR="00DE2166" w:rsidRDefault="00000000">
            <w:r>
              <w:rPr>
                <w:sz w:val="20"/>
                <w:szCs w:val="20"/>
              </w:rPr>
              <w:t>Stage-one negatives are not re-examined; cost of a miss varies</w:t>
            </w:r>
          </w:p>
        </w:tc>
      </w:tr>
      <w:tr w:rsidR="00DE2166" w14:paraId="4A9DB073"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E3B139" w14:textId="77777777" w:rsidR="00DE2166" w:rsidRDefault="00000000">
            <w:r>
              <w:rPr>
                <w:sz w:val="20"/>
                <w:szCs w:val="20"/>
              </w:rPr>
              <w:t>Per-alternative selection</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12B285" w14:textId="77777777" w:rsidR="00DE2166" w:rsidRDefault="00000000">
            <w:r>
              <w:rPr>
                <w:sz w:val="20"/>
                <w:szCs w:val="20"/>
              </w:rPr>
              <w:t>Lowest positive rate among qualifying pairs</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45777DA" w14:textId="77777777" w:rsidR="00DE2166" w:rsidRDefault="00000000">
            <w:r>
              <w:rPr>
                <w:sz w:val="20"/>
                <w:szCs w:val="20"/>
              </w:rPr>
              <w:t>Minimizes evaluations for each alternative</w:t>
            </w:r>
          </w:p>
        </w:tc>
      </w:tr>
      <w:tr w:rsidR="00DE2166" w14:paraId="7E52B84A"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8705D8" w14:textId="77777777" w:rsidR="00DE2166" w:rsidRDefault="00000000">
            <w:r>
              <w:rPr>
                <w:sz w:val="20"/>
                <w:szCs w:val="20"/>
              </w:rPr>
              <w:t>Joint adjustment</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CF7EFAF" w14:textId="77777777" w:rsidR="00DE2166" w:rsidRDefault="00000000">
            <w:r>
              <w:rPr>
                <w:sz w:val="20"/>
                <w:szCs w:val="20"/>
              </w:rPr>
              <w:t>Coordinate descent on overall positive rate</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EB2D99B" w14:textId="77777777" w:rsidR="00DE2166" w:rsidRDefault="00000000">
            <w:r>
              <w:rPr>
                <w:sz w:val="20"/>
                <w:szCs w:val="20"/>
              </w:rPr>
              <w:t>Exploits overlap among alternatives</w:t>
            </w:r>
          </w:p>
        </w:tc>
      </w:tr>
      <w:tr w:rsidR="00DE2166" w14:paraId="607B3FEA"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74FCCC" w14:textId="77777777" w:rsidR="00DE2166" w:rsidRDefault="00000000">
            <w:r>
              <w:rPr>
                <w:sz w:val="20"/>
                <w:szCs w:val="20"/>
              </w:rPr>
              <w:lastRenderedPageBreak/>
              <w:t>Capacity alternative</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112F927" w14:textId="77777777" w:rsidR="00DE2166" w:rsidRDefault="00000000">
            <w:r>
              <w:rPr>
                <w:sz w:val="20"/>
                <w:szCs w:val="20"/>
              </w:rPr>
              <w:t>Maximize weighted sensitivity with overall rate ≤ C/N</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FECF4E2" w14:textId="77777777" w:rsidR="00DE2166" w:rsidRDefault="00000000">
            <w:r>
              <w:rPr>
                <w:sz w:val="20"/>
                <w:szCs w:val="20"/>
              </w:rPr>
              <w:t>Fits fixed stage-two capacity</w:t>
            </w:r>
          </w:p>
        </w:tc>
      </w:tr>
      <w:tr w:rsidR="00DE2166" w14:paraId="66B09151"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34FEE96" w14:textId="77777777" w:rsidR="00DE2166" w:rsidRDefault="00000000">
            <w:r>
              <w:rPr>
                <w:sz w:val="20"/>
                <w:szCs w:val="20"/>
              </w:rPr>
              <w:t>Stability</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C80F6FD" w14:textId="77777777" w:rsidR="00DE2166" w:rsidRDefault="00000000">
            <w:r>
              <w:rPr>
                <w:sz w:val="20"/>
                <w:szCs w:val="20"/>
              </w:rPr>
              <w:t>1,000 bootstrap resamples</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90238C" w14:textId="77777777" w:rsidR="00DE2166" w:rsidRDefault="00000000">
            <w:r>
              <w:rPr>
                <w:sz w:val="20"/>
                <w:szCs w:val="20"/>
              </w:rPr>
              <w:t>Detects thresholds that depend on sampling noise</w:t>
            </w:r>
          </w:p>
        </w:tc>
      </w:tr>
      <w:tr w:rsidR="00DE2166" w14:paraId="07AA7983" w14:textId="77777777">
        <w:tblPrEx>
          <w:tblCellMar>
            <w:top w:w="0" w:type="dxa"/>
            <w:bottom w:w="0" w:type="dxa"/>
          </w:tblCellMar>
        </w:tblPrEx>
        <w:tc>
          <w:tcPr>
            <w:tcW w:w="2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EC3BA01" w14:textId="77777777" w:rsidR="00DE2166" w:rsidRDefault="00000000">
            <w:r>
              <w:rPr>
                <w:sz w:val="20"/>
                <w:szCs w:val="20"/>
              </w:rPr>
              <w:t>Locking</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5C36937" w14:textId="77777777" w:rsidR="00DE2166" w:rsidRDefault="00000000">
            <w:r>
              <w:rPr>
                <w:sz w:val="20"/>
                <w:szCs w:val="20"/>
              </w:rPr>
              <w:t>Fixed before validation</w:t>
            </w:r>
          </w:p>
        </w:tc>
        <w:tc>
          <w:tcPr>
            <w:tcW w:w="368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4A84D4E" w14:textId="77777777" w:rsidR="00DE2166" w:rsidRDefault="00000000">
            <w:r>
              <w:rPr>
                <w:sz w:val="20"/>
                <w:szCs w:val="20"/>
              </w:rPr>
              <w:t>Prevents tuning to the test data</w:t>
            </w:r>
          </w:p>
        </w:tc>
      </w:tr>
    </w:tbl>
    <w:p w14:paraId="320457B4" w14:textId="77777777" w:rsidR="00DE2166" w:rsidRDefault="00000000">
      <w:pPr>
        <w:pStyle w:val="Heading1"/>
        <w:spacing w:before="240" w:after="160"/>
      </w:pPr>
      <w:r>
        <w:t>Validation</w:t>
      </w:r>
    </w:p>
    <w:p w14:paraId="6BA5684F" w14:textId="77777777" w:rsidR="00DE2166" w:rsidRDefault="00000000">
      <w:pPr>
        <w:spacing w:after="160" w:line="300" w:lineRule="auto"/>
        <w:jc w:val="both"/>
      </w:pPr>
      <w:r>
        <w:t xml:space="preserve">With thresholds locked, the screen is applied to the held-out All of Us partition and to MIMIC-IV. For each alternative we report the area under the receiver operating characteristic curve for S1k and S2k with 95% confidence intervals, calibration of the underlying DEMI probabilities (calibration slope and intercept), and sensitivity, screen-positive rate, and NNE at the locked thresholds. For the screen as a </w:t>
      </w:r>
      <w:proofErr w:type="gramStart"/>
      <w:r>
        <w:t>whole</w:t>
      </w:r>
      <w:proofErr w:type="gramEnd"/>
      <w:r>
        <w:t xml:space="preserve"> we report the overall screen-positive rate, the distribution of the number of alternatives flagged per patient, and the proportion of reference-positive patients flagged for the correct alternative. Prespecified subgroup analyses examine performance by sex, age group, and race and ethnicity. Sensitivity analyses vary the laboratory look-back window and the follow-up windows used for bipolar disorder and Parkinson's disease.</w:t>
      </w:r>
    </w:p>
    <w:p w14:paraId="439F8953" w14:textId="77777777" w:rsidR="00DE2166" w:rsidRDefault="00000000">
      <w:pPr>
        <w:pStyle w:val="Heading1"/>
        <w:spacing w:before="240" w:after="160"/>
      </w:pPr>
      <w:r>
        <w:t>Handoff to Stage Two</w:t>
      </w:r>
    </w:p>
    <w:p w14:paraId="5A63FAE9" w14:textId="77777777" w:rsidR="00DE2166" w:rsidRDefault="00000000">
      <w:pPr>
        <w:spacing w:after="160" w:line="300" w:lineRule="auto"/>
        <w:jc w:val="both"/>
      </w:pPr>
      <w:r>
        <w:t xml:space="preserve">For each screen-positive patient, stage one passes to stage two the alternatives flagged, ranked by score; the values of S1k and S2k for each; the features that carried the largest share of each score (for example, a TSH of 9.2 </w:t>
      </w:r>
      <w:proofErr w:type="spellStart"/>
      <w:r>
        <w:t>mIU</w:t>
      </w:r>
      <w:proofErr w:type="spellEnd"/>
      <w:r>
        <w:t>/L 40 days before the index date, or hypomania following an earlier antidepressant trial); and any laboratory tests that were absent but would resolve the question. This lets stage two begin with the most likely alternative and order the missing tests rather than repeating a general workup.</w:t>
      </w:r>
    </w:p>
    <w:p w14:paraId="489D9A9B" w14:textId="77777777" w:rsidR="00DE2166" w:rsidRDefault="00000000">
      <w:pPr>
        <w:pStyle w:val="Heading1"/>
        <w:spacing w:before="240" w:after="160"/>
      </w:pPr>
      <w:r>
        <w:t>References</w:t>
      </w:r>
    </w:p>
    <w:p w14:paraId="6140FD9B" w14:textId="77777777" w:rsidR="00DE2166" w:rsidRDefault="00000000">
      <w:pPr>
        <w:spacing w:after="160" w:line="300" w:lineRule="auto"/>
        <w:jc w:val="both"/>
      </w:pPr>
      <w:r>
        <w:t>All of Us Research Program Investigators. The "All of Us" Research Program. N Engl J Med. 2019;381(7):668-676.</w:t>
      </w:r>
    </w:p>
    <w:p w14:paraId="154E0039" w14:textId="77777777" w:rsidR="00DE2166" w:rsidRDefault="00000000">
      <w:pPr>
        <w:spacing w:after="160" w:line="300" w:lineRule="auto"/>
        <w:jc w:val="both"/>
      </w:pPr>
      <w:r>
        <w:t>Elkan C, Noto K. Learning classifiers from only positive and unlabeled data. Proceedings of the 14th ACM SIGKDD International Conference on Knowledge Discovery and Data Mining. 2008:213-220.</w:t>
      </w:r>
    </w:p>
    <w:p w14:paraId="6C6B472C" w14:textId="77777777" w:rsidR="00DE2166" w:rsidRDefault="00000000">
      <w:pPr>
        <w:spacing w:after="160" w:line="300" w:lineRule="auto"/>
        <w:jc w:val="both"/>
      </w:pPr>
      <w:r>
        <w:t>Greenland S, Robins JM. Conceptual problems in the definition and interpretation of attributable fractions. Am J Epidemiol. 1988;128(6):1185-1197.</w:t>
      </w:r>
    </w:p>
    <w:p w14:paraId="6A96533A" w14:textId="77777777" w:rsidR="00DE2166" w:rsidRDefault="00000000">
      <w:pPr>
        <w:spacing w:after="160" w:line="300" w:lineRule="auto"/>
        <w:jc w:val="both"/>
      </w:pPr>
      <w:r>
        <w:t>Johnson AEW, Bulgarelli L, Shen L, et al. MIMIC-IV, a freely accessible electronic health record dataset. Sci Data. 2023;10(1):1.</w:t>
      </w:r>
    </w:p>
    <w:p w14:paraId="2403B5CF" w14:textId="77777777" w:rsidR="00DE2166" w:rsidRDefault="00000000">
      <w:pPr>
        <w:spacing w:after="160" w:line="300" w:lineRule="auto"/>
        <w:jc w:val="both"/>
      </w:pPr>
      <w:r>
        <w:lastRenderedPageBreak/>
        <w:t xml:space="preserve">Okereke OI, Reynolds CF, </w:t>
      </w:r>
      <w:proofErr w:type="spellStart"/>
      <w:r>
        <w:t>Mischoulon</w:t>
      </w:r>
      <w:proofErr w:type="spellEnd"/>
      <w:r>
        <w:t xml:space="preserve"> D, et al. Effect of long-term vitamin D3 supplementation vs placebo on risk of depression or clinically relevant depressive symptoms and on change in mood scores: a randomized clinical trial. JAMA. 2020;324(5):471-480.</w:t>
      </w:r>
    </w:p>
    <w:p w14:paraId="3D628298" w14:textId="77777777" w:rsidR="00DE2166" w:rsidRDefault="00000000">
      <w:pPr>
        <w:spacing w:after="160" w:line="300" w:lineRule="auto"/>
        <w:jc w:val="both"/>
      </w:pPr>
      <w:r>
        <w:t>Ratheesh A, Davey C, Hetrick S, et al. A systematic review and meta-analysis of prospective transition from major depression to bipolar disorder. Acta Psychiatr Scand. 2017;135(4):273-284.</w:t>
      </w:r>
    </w:p>
    <w:p w14:paraId="0738C422" w14:textId="77777777" w:rsidR="00DE2166" w:rsidRDefault="00000000">
      <w:pPr>
        <w:spacing w:after="160" w:line="300" w:lineRule="auto"/>
        <w:jc w:val="both"/>
      </w:pPr>
      <w:r>
        <w:t xml:space="preserve">Schrag A, Horsfall L, Walters K, Noyce A, Petersen I. </w:t>
      </w:r>
      <w:proofErr w:type="spellStart"/>
      <w:r>
        <w:t>Prediagnostic</w:t>
      </w:r>
      <w:proofErr w:type="spellEnd"/>
      <w:r>
        <w:t xml:space="preserve"> presentations of Parkinson's disease in primary care: a case-control study. Lancet Neurol. 2015;14(1):57-64.</w:t>
      </w:r>
    </w:p>
    <w:p w14:paraId="27C907B2" w14:textId="77777777" w:rsidR="00DE2166" w:rsidRDefault="00000000">
      <w:pPr>
        <w:spacing w:after="160" w:line="300" w:lineRule="auto"/>
        <w:jc w:val="both"/>
      </w:pPr>
      <w:r>
        <w:t xml:space="preserve">Tian J, Pearl J. Probabilities of causation: bounds and identification. Ann Math Artif Intell. </w:t>
      </w:r>
      <w:proofErr w:type="gramStart"/>
      <w:r>
        <w:t>2000;28:287</w:t>
      </w:r>
      <w:proofErr w:type="gramEnd"/>
      <w:r>
        <w:t>-313.</w:t>
      </w:r>
    </w:p>
    <w:sectPr w:rsidR="00DE216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F76AB"/>
    <w:multiLevelType w:val="hybridMultilevel"/>
    <w:tmpl w:val="85407626"/>
    <w:lvl w:ilvl="0" w:tplc="F5E8721C">
      <w:start w:val="1"/>
      <w:numFmt w:val="decimal"/>
      <w:lvlText w:val="%1."/>
      <w:lvlJc w:val="left"/>
      <w:pPr>
        <w:ind w:left="720" w:hanging="360"/>
      </w:pPr>
    </w:lvl>
    <w:lvl w:ilvl="1" w:tplc="0FC8DD7C">
      <w:numFmt w:val="decimal"/>
      <w:lvlText w:val=""/>
      <w:lvlJc w:val="left"/>
    </w:lvl>
    <w:lvl w:ilvl="2" w:tplc="87D6BE54">
      <w:numFmt w:val="decimal"/>
      <w:lvlText w:val=""/>
      <w:lvlJc w:val="left"/>
    </w:lvl>
    <w:lvl w:ilvl="3" w:tplc="3E84DF7E">
      <w:numFmt w:val="decimal"/>
      <w:lvlText w:val=""/>
      <w:lvlJc w:val="left"/>
    </w:lvl>
    <w:lvl w:ilvl="4" w:tplc="9E04B156">
      <w:numFmt w:val="decimal"/>
      <w:lvlText w:val=""/>
      <w:lvlJc w:val="left"/>
    </w:lvl>
    <w:lvl w:ilvl="5" w:tplc="AB1E18BC">
      <w:numFmt w:val="decimal"/>
      <w:lvlText w:val=""/>
      <w:lvlJc w:val="left"/>
    </w:lvl>
    <w:lvl w:ilvl="6" w:tplc="2DF228A6">
      <w:numFmt w:val="decimal"/>
      <w:lvlText w:val=""/>
      <w:lvlJc w:val="left"/>
    </w:lvl>
    <w:lvl w:ilvl="7" w:tplc="F46A0CA6">
      <w:numFmt w:val="decimal"/>
      <w:lvlText w:val=""/>
      <w:lvlJc w:val="left"/>
    </w:lvl>
    <w:lvl w:ilvl="8" w:tplc="BBA896A8">
      <w:numFmt w:val="decimal"/>
      <w:lvlText w:val=""/>
      <w:lvlJc w:val="left"/>
    </w:lvl>
  </w:abstractNum>
  <w:abstractNum w:abstractNumId="1" w15:restartNumberingAfterBreak="0">
    <w:nsid w:val="178E4CF5"/>
    <w:multiLevelType w:val="hybridMultilevel"/>
    <w:tmpl w:val="204AFE46"/>
    <w:lvl w:ilvl="0" w:tplc="73560654">
      <w:start w:val="1"/>
      <w:numFmt w:val="decimal"/>
      <w:lvlText w:val="%1."/>
      <w:lvlJc w:val="left"/>
      <w:pPr>
        <w:ind w:left="720" w:hanging="360"/>
      </w:pPr>
    </w:lvl>
    <w:lvl w:ilvl="1" w:tplc="2BBE853E">
      <w:numFmt w:val="decimal"/>
      <w:lvlText w:val=""/>
      <w:lvlJc w:val="left"/>
    </w:lvl>
    <w:lvl w:ilvl="2" w:tplc="19B0F2BC">
      <w:numFmt w:val="decimal"/>
      <w:lvlText w:val=""/>
      <w:lvlJc w:val="left"/>
    </w:lvl>
    <w:lvl w:ilvl="3" w:tplc="B94401D2">
      <w:numFmt w:val="decimal"/>
      <w:lvlText w:val=""/>
      <w:lvlJc w:val="left"/>
    </w:lvl>
    <w:lvl w:ilvl="4" w:tplc="2436757C">
      <w:numFmt w:val="decimal"/>
      <w:lvlText w:val=""/>
      <w:lvlJc w:val="left"/>
    </w:lvl>
    <w:lvl w:ilvl="5" w:tplc="76CE3A48">
      <w:numFmt w:val="decimal"/>
      <w:lvlText w:val=""/>
      <w:lvlJc w:val="left"/>
    </w:lvl>
    <w:lvl w:ilvl="6" w:tplc="5FCEBAC6">
      <w:numFmt w:val="decimal"/>
      <w:lvlText w:val=""/>
      <w:lvlJc w:val="left"/>
    </w:lvl>
    <w:lvl w:ilvl="7" w:tplc="C8620A88">
      <w:numFmt w:val="decimal"/>
      <w:lvlText w:val=""/>
      <w:lvlJc w:val="left"/>
    </w:lvl>
    <w:lvl w:ilvl="8" w:tplc="5E960C56">
      <w:numFmt w:val="decimal"/>
      <w:lvlText w:val=""/>
      <w:lvlJc w:val="left"/>
    </w:lvl>
  </w:abstractNum>
  <w:abstractNum w:abstractNumId="2" w15:restartNumberingAfterBreak="0">
    <w:nsid w:val="25F26364"/>
    <w:multiLevelType w:val="hybridMultilevel"/>
    <w:tmpl w:val="7B2A6914"/>
    <w:lvl w:ilvl="0" w:tplc="B3509AE4">
      <w:start w:val="1"/>
      <w:numFmt w:val="bullet"/>
      <w:lvlText w:val="•"/>
      <w:lvlJc w:val="left"/>
      <w:pPr>
        <w:ind w:left="720" w:hanging="360"/>
      </w:pPr>
    </w:lvl>
    <w:lvl w:ilvl="1" w:tplc="C47A2FE4">
      <w:numFmt w:val="decimal"/>
      <w:lvlText w:val=""/>
      <w:lvlJc w:val="left"/>
    </w:lvl>
    <w:lvl w:ilvl="2" w:tplc="947CF0A0">
      <w:numFmt w:val="decimal"/>
      <w:lvlText w:val=""/>
      <w:lvlJc w:val="left"/>
    </w:lvl>
    <w:lvl w:ilvl="3" w:tplc="BC1861FC">
      <w:numFmt w:val="decimal"/>
      <w:lvlText w:val=""/>
      <w:lvlJc w:val="left"/>
    </w:lvl>
    <w:lvl w:ilvl="4" w:tplc="72BC3952">
      <w:numFmt w:val="decimal"/>
      <w:lvlText w:val=""/>
      <w:lvlJc w:val="left"/>
    </w:lvl>
    <w:lvl w:ilvl="5" w:tplc="54280BB2">
      <w:numFmt w:val="decimal"/>
      <w:lvlText w:val=""/>
      <w:lvlJc w:val="left"/>
    </w:lvl>
    <w:lvl w:ilvl="6" w:tplc="29924632">
      <w:numFmt w:val="decimal"/>
      <w:lvlText w:val=""/>
      <w:lvlJc w:val="left"/>
    </w:lvl>
    <w:lvl w:ilvl="7" w:tplc="57E20B0A">
      <w:numFmt w:val="decimal"/>
      <w:lvlText w:val=""/>
      <w:lvlJc w:val="left"/>
    </w:lvl>
    <w:lvl w:ilvl="8" w:tplc="C178C1DE">
      <w:numFmt w:val="decimal"/>
      <w:lvlText w:val=""/>
      <w:lvlJc w:val="left"/>
    </w:lvl>
  </w:abstractNum>
  <w:abstractNum w:abstractNumId="3" w15:restartNumberingAfterBreak="0">
    <w:nsid w:val="705D5EEC"/>
    <w:multiLevelType w:val="hybridMultilevel"/>
    <w:tmpl w:val="69F6803E"/>
    <w:lvl w:ilvl="0" w:tplc="48C2A226">
      <w:start w:val="1"/>
      <w:numFmt w:val="bullet"/>
      <w:lvlText w:val="●"/>
      <w:lvlJc w:val="left"/>
      <w:pPr>
        <w:ind w:left="720" w:hanging="360"/>
      </w:pPr>
    </w:lvl>
    <w:lvl w:ilvl="1" w:tplc="05A4D60A">
      <w:start w:val="1"/>
      <w:numFmt w:val="bullet"/>
      <w:lvlText w:val="○"/>
      <w:lvlJc w:val="left"/>
      <w:pPr>
        <w:ind w:left="1440" w:hanging="360"/>
      </w:pPr>
    </w:lvl>
    <w:lvl w:ilvl="2" w:tplc="CBCE3EE4">
      <w:start w:val="1"/>
      <w:numFmt w:val="bullet"/>
      <w:lvlText w:val="■"/>
      <w:lvlJc w:val="left"/>
      <w:pPr>
        <w:ind w:left="2160" w:hanging="360"/>
      </w:pPr>
    </w:lvl>
    <w:lvl w:ilvl="3" w:tplc="3F449680">
      <w:start w:val="1"/>
      <w:numFmt w:val="bullet"/>
      <w:lvlText w:val="●"/>
      <w:lvlJc w:val="left"/>
      <w:pPr>
        <w:ind w:left="2880" w:hanging="360"/>
      </w:pPr>
    </w:lvl>
    <w:lvl w:ilvl="4" w:tplc="2A36D536">
      <w:start w:val="1"/>
      <w:numFmt w:val="bullet"/>
      <w:lvlText w:val="○"/>
      <w:lvlJc w:val="left"/>
      <w:pPr>
        <w:ind w:left="3600" w:hanging="360"/>
      </w:pPr>
    </w:lvl>
    <w:lvl w:ilvl="5" w:tplc="0AE42DF8">
      <w:start w:val="1"/>
      <w:numFmt w:val="bullet"/>
      <w:lvlText w:val="■"/>
      <w:lvlJc w:val="left"/>
      <w:pPr>
        <w:ind w:left="4320" w:hanging="360"/>
      </w:pPr>
    </w:lvl>
    <w:lvl w:ilvl="6" w:tplc="F0F45E54">
      <w:start w:val="1"/>
      <w:numFmt w:val="bullet"/>
      <w:lvlText w:val="●"/>
      <w:lvlJc w:val="left"/>
      <w:pPr>
        <w:ind w:left="5040" w:hanging="360"/>
      </w:pPr>
    </w:lvl>
    <w:lvl w:ilvl="7" w:tplc="3DB84E22">
      <w:start w:val="1"/>
      <w:numFmt w:val="bullet"/>
      <w:lvlText w:val="●"/>
      <w:lvlJc w:val="left"/>
      <w:pPr>
        <w:ind w:left="5760" w:hanging="360"/>
      </w:pPr>
    </w:lvl>
    <w:lvl w:ilvl="8" w:tplc="07E09FB0">
      <w:start w:val="1"/>
      <w:numFmt w:val="bullet"/>
      <w:lvlText w:val="●"/>
      <w:lvlJc w:val="left"/>
      <w:pPr>
        <w:ind w:left="6480" w:hanging="360"/>
      </w:pPr>
    </w:lvl>
  </w:abstractNum>
  <w:num w:numId="1" w16cid:durableId="1990670505">
    <w:abstractNumId w:val="3"/>
    <w:lvlOverride w:ilvl="0">
      <w:startOverride w:val="1"/>
    </w:lvlOverride>
  </w:num>
  <w:num w:numId="2" w16cid:durableId="178272455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166"/>
    <w:rsid w:val="001D4470"/>
    <w:rsid w:val="004F33AD"/>
    <w:rsid w:val="004F3D07"/>
    <w:rsid w:val="00DE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7143E"/>
  <w15:docId w15:val="{3CE2C64F-4377-44E1-9679-E49D0EFF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6"/>
      <w:szCs w:val="26"/>
    </w:rPr>
  </w:style>
  <w:style w:type="paragraph" w:styleId="Heading2">
    <w:name w:val="heading 2"/>
    <w:uiPriority w:val="9"/>
    <w:unhideWhenUsed/>
    <w:qFormat/>
    <w:pPr>
      <w:outlineLvl w:val="1"/>
    </w:pPr>
    <w:rPr>
      <w:b/>
      <w:bCs/>
      <w:i/>
      <w:iCs/>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2866</Words>
  <Characters>16338</Characters>
  <Application>Microsoft Office Word</Application>
  <DocSecurity>0</DocSecurity>
  <Lines>136</Lines>
  <Paragraphs>38</Paragraphs>
  <ScaleCrop>false</ScaleCrop>
  <Company>George Mason University</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Farrokh Alemi</cp:lastModifiedBy>
  <cp:revision>2</cp:revision>
  <dcterms:created xsi:type="dcterms:W3CDTF">2026-10-21T21:13:00Z</dcterms:created>
  <dcterms:modified xsi:type="dcterms:W3CDTF">2026-10-21T21:13:00Z</dcterms:modified>
</cp:coreProperties>
</file>