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CF" w:rsidRDefault="00CD1C66" w:rsidP="00662D0B">
      <w:pPr>
        <w:spacing w:after="0" w:line="240" w:lineRule="auto"/>
        <w:rPr>
          <w:b/>
        </w:rPr>
      </w:pPr>
      <w:bookmarkStart w:id="0" w:name="_Hlk479806351"/>
      <w:bookmarkStart w:id="1" w:name="_GoBack"/>
      <w:bookmarkEnd w:id="0"/>
      <w:bookmarkEnd w:id="1"/>
      <w:r w:rsidRPr="00662D0B">
        <w:rPr>
          <w:b/>
        </w:rPr>
        <w:t>CAUSAL CONTROL CHART</w:t>
      </w:r>
      <w:r w:rsidR="00C03570" w:rsidRPr="00662D0B">
        <w:rPr>
          <w:b/>
        </w:rPr>
        <w:t>S</w:t>
      </w:r>
    </w:p>
    <w:p w:rsidR="00662D0B" w:rsidRPr="00662D0B" w:rsidRDefault="00662D0B" w:rsidP="00662D0B">
      <w:pPr>
        <w:spacing w:after="0" w:line="240" w:lineRule="auto"/>
        <w:rPr>
          <w:b/>
        </w:rPr>
      </w:pPr>
      <w:r w:rsidRPr="00662D0B">
        <w:rPr>
          <w:b/>
        </w:rPr>
        <w:t>Question 2</w:t>
      </w:r>
    </w:p>
    <w:p w:rsidR="00662D0B" w:rsidRPr="00662D0B" w:rsidRDefault="00662D0B" w:rsidP="00662D0B">
      <w:pPr>
        <w:spacing w:after="0" w:line="240" w:lineRule="auto"/>
      </w:pPr>
    </w:p>
    <w:p w:rsidR="00952988" w:rsidRDefault="00952988" w:rsidP="00AA5F0A">
      <w:pPr>
        <w:rPr>
          <w:rFonts w:ascii="Calibri" w:hAnsi="Calibri" w:cs="Calibri"/>
          <w:color w:val="212121"/>
          <w:shd w:val="clear" w:color="auto" w:fill="FFFFFF"/>
        </w:rPr>
      </w:pPr>
      <w:r>
        <w:rPr>
          <w:rFonts w:ascii="Calibri" w:hAnsi="Calibri" w:cs="Calibri"/>
          <w:color w:val="212121"/>
          <w:shd w:val="clear" w:color="auto" w:fill="FFFFFF"/>
        </w:rPr>
        <w:t xml:space="preserve">We are trying to </w:t>
      </w:r>
      <w:r w:rsidR="00F478C1">
        <w:rPr>
          <w:rFonts w:ascii="Calibri" w:hAnsi="Calibri" w:cs="Calibri"/>
          <w:color w:val="212121"/>
          <w:shd w:val="clear" w:color="auto" w:fill="FFFFFF"/>
        </w:rPr>
        <w:t>determine</w:t>
      </w:r>
      <w:r>
        <w:rPr>
          <w:rFonts w:ascii="Calibri" w:hAnsi="Calibri" w:cs="Calibri"/>
          <w:color w:val="212121"/>
          <w:shd w:val="clear" w:color="auto" w:fill="FFFFFF"/>
        </w:rPr>
        <w:t xml:space="preserve"> whether the 2016 Presidential Election had an effect on the percent of days that Humana stock went up.  In solving this problem, we will utilize the switch method to create a causal control chart.  We will use a dataset that contains data for 60 days from before the election (the controls) and 60 days after the election (the cases) for a total of 120 days.  A sample of which is provided in this slide.  Notice the difference between pre and post elections.  The control limits are calculated from pre-election and use</w:t>
      </w:r>
      <w:r w:rsidR="004151BD">
        <w:rPr>
          <w:rFonts w:ascii="Calibri" w:hAnsi="Calibri" w:cs="Calibri"/>
          <w:color w:val="212121"/>
          <w:shd w:val="clear" w:color="auto" w:fill="FFFFFF"/>
        </w:rPr>
        <w:t>d</w:t>
      </w:r>
      <w:r>
        <w:rPr>
          <w:rFonts w:ascii="Calibri" w:hAnsi="Calibri" w:cs="Calibri"/>
          <w:color w:val="212121"/>
          <w:shd w:val="clear" w:color="auto" w:fill="FFFFFF"/>
        </w:rPr>
        <w:t xml:space="preserve"> to judge the changes in post-election.</w:t>
      </w:r>
    </w:p>
    <w:p w:rsidR="00DE2C28" w:rsidRDefault="00DE2C28" w:rsidP="00AA5F0A">
      <w:r>
        <w:rPr>
          <w:noProof/>
        </w:rPr>
        <w:drawing>
          <wp:inline distT="0" distB="0" distL="0" distR="0" wp14:anchorId="04F6EFF7" wp14:editId="34EAC19F">
            <wp:extent cx="5943600" cy="1916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916430"/>
                    </a:xfrm>
                    <a:prstGeom prst="rect">
                      <a:avLst/>
                    </a:prstGeom>
                  </pic:spPr>
                </pic:pic>
              </a:graphicData>
            </a:graphic>
          </wp:inline>
        </w:drawing>
      </w:r>
    </w:p>
    <w:p w:rsidR="00952988" w:rsidRPr="00952988" w:rsidRDefault="00952988" w:rsidP="00952988">
      <w:pPr>
        <w:shd w:val="clear" w:color="auto" w:fill="FFFFFF"/>
        <w:rPr>
          <w:rFonts w:ascii="Calibri" w:eastAsia="Times New Roman" w:hAnsi="Calibri" w:cs="Calibri"/>
          <w:color w:val="212121"/>
          <w:lang w:eastAsia="ja-JP"/>
        </w:rPr>
      </w:pPr>
      <w:r w:rsidRPr="00952988">
        <w:rPr>
          <w:rFonts w:ascii="Calibri" w:eastAsia="Times New Roman" w:hAnsi="Calibri" w:cs="Calibri"/>
          <w:color w:val="212121"/>
          <w:lang w:eastAsia="ja-JP"/>
        </w:rPr>
        <w:t xml:space="preserve">We are interested in whether Human stock went up if we remove the effect of </w:t>
      </w:r>
      <w:r>
        <w:rPr>
          <w:rFonts w:ascii="Calibri" w:eastAsia="Times New Roman" w:hAnsi="Calibri" w:cs="Calibri"/>
          <w:color w:val="212121"/>
          <w:lang w:eastAsia="ja-JP"/>
        </w:rPr>
        <w:t xml:space="preserve">the </w:t>
      </w:r>
      <w:r w:rsidRPr="00952988">
        <w:rPr>
          <w:rFonts w:ascii="Calibri" w:eastAsia="Times New Roman" w:hAnsi="Calibri" w:cs="Calibri"/>
          <w:color w:val="212121"/>
          <w:lang w:eastAsia="ja-JP"/>
        </w:rPr>
        <w:t xml:space="preserve">general economy as measured by Nasdaq, and </w:t>
      </w:r>
      <w:r>
        <w:rPr>
          <w:rFonts w:ascii="Calibri" w:eastAsia="Times New Roman" w:hAnsi="Calibri" w:cs="Calibri"/>
          <w:color w:val="212121"/>
          <w:lang w:eastAsia="ja-JP"/>
        </w:rPr>
        <w:t xml:space="preserve">the </w:t>
      </w:r>
      <w:r w:rsidRPr="00952988">
        <w:rPr>
          <w:rFonts w:ascii="Calibri" w:eastAsia="Times New Roman" w:hAnsi="Calibri" w:cs="Calibri"/>
          <w:color w:val="212121"/>
          <w:lang w:eastAsia="ja-JP"/>
        </w:rPr>
        <w:t>health care sector as measured by S&amp;P Health stock.  There are two sets of these stocks one for pre-election and another for post-election. There could be other factors known to affect the value of Humana’s stock</w:t>
      </w:r>
      <w:r>
        <w:rPr>
          <w:rFonts w:ascii="Calibri" w:eastAsia="Times New Roman" w:hAnsi="Calibri" w:cs="Calibri"/>
          <w:color w:val="212121"/>
          <w:lang w:eastAsia="ja-JP"/>
        </w:rPr>
        <w:t>, but f</w:t>
      </w:r>
      <w:r w:rsidRPr="00952988">
        <w:rPr>
          <w:rFonts w:ascii="Calibri" w:eastAsia="Times New Roman" w:hAnsi="Calibri" w:cs="Calibri"/>
          <w:color w:val="212121"/>
          <w:lang w:eastAsia="ja-JP"/>
        </w:rPr>
        <w:t>or</w:t>
      </w:r>
      <w:r w:rsidR="000154E0">
        <w:rPr>
          <w:rFonts w:ascii="Calibri" w:eastAsia="Times New Roman" w:hAnsi="Calibri" w:cs="Calibri"/>
          <w:color w:val="212121"/>
          <w:lang w:eastAsia="ja-JP"/>
        </w:rPr>
        <w:t xml:space="preserve"> the</w:t>
      </w:r>
      <w:r w:rsidRPr="00952988">
        <w:rPr>
          <w:rFonts w:ascii="Calibri" w:eastAsia="Times New Roman" w:hAnsi="Calibri" w:cs="Calibri"/>
          <w:color w:val="212121"/>
          <w:lang w:eastAsia="ja-JP"/>
        </w:rPr>
        <w:t xml:space="preserve"> purposes of this exercise we are assuming that these two factors </w:t>
      </w:r>
      <w:r w:rsidR="000154E0">
        <w:rPr>
          <w:rFonts w:ascii="Calibri" w:eastAsia="Times New Roman" w:hAnsi="Calibri" w:cs="Calibri"/>
          <w:color w:val="212121"/>
          <w:lang w:eastAsia="ja-JP"/>
        </w:rPr>
        <w:t>ar</w:t>
      </w:r>
      <w:r w:rsidR="00D523DF">
        <w:rPr>
          <w:rFonts w:ascii="Calibri" w:eastAsia="Times New Roman" w:hAnsi="Calibri" w:cs="Calibri"/>
          <w:color w:val="212121"/>
          <w:lang w:eastAsia="ja-JP"/>
        </w:rPr>
        <w:t>e</w:t>
      </w:r>
      <w:r w:rsidRPr="00952988">
        <w:rPr>
          <w:rFonts w:ascii="Calibri" w:eastAsia="Times New Roman" w:hAnsi="Calibri" w:cs="Calibri"/>
          <w:color w:val="212121"/>
          <w:lang w:eastAsia="ja-JP"/>
        </w:rPr>
        <w:t xml:space="preserve"> all that matters.  We refer to Nasdaq and S&amp;P as alternative explanations for why Humana’s stock goes up or down. </w:t>
      </w:r>
    </w:p>
    <w:p w:rsidR="00952988" w:rsidRPr="00952988" w:rsidRDefault="00952988" w:rsidP="00952988">
      <w:pPr>
        <w:shd w:val="clear" w:color="auto" w:fill="FFFFFF"/>
        <w:rPr>
          <w:rFonts w:ascii="Segoe UI" w:eastAsia="Times New Roman" w:hAnsi="Segoe UI" w:cs="Segoe UI"/>
          <w:color w:val="212121"/>
          <w:sz w:val="23"/>
          <w:szCs w:val="23"/>
          <w:lang w:eastAsia="ja-JP"/>
        </w:rPr>
      </w:pPr>
      <w:r w:rsidRPr="00952988">
        <w:rPr>
          <w:rFonts w:ascii="Calibri" w:eastAsia="Times New Roman" w:hAnsi="Calibri" w:cs="Calibri"/>
          <w:color w:val="212121"/>
          <w:lang w:eastAsia="ja-JP"/>
        </w:rPr>
        <w:t>Control limits for a p-chart are calculated from the average probability of the event among the controls.  To calculate the </w:t>
      </w:r>
      <w:r w:rsidRPr="00952988">
        <w:rPr>
          <w:rFonts w:ascii="Calibri" w:eastAsia="Times New Roman" w:hAnsi="Calibri" w:cs="Calibri"/>
          <w:b/>
          <w:bCs/>
          <w:color w:val="212121"/>
          <w:lang w:eastAsia="ja-JP"/>
        </w:rPr>
        <w:t>Upper Control Limit (UCL)</w:t>
      </w:r>
      <w:r w:rsidRPr="00952988">
        <w:rPr>
          <w:rFonts w:ascii="Calibri" w:eastAsia="Times New Roman" w:hAnsi="Calibri" w:cs="Calibri"/>
          <w:color w:val="212121"/>
          <w:lang w:eastAsia="ja-JP"/>
        </w:rPr>
        <w:t> and the </w:t>
      </w:r>
      <w:r w:rsidRPr="00952988">
        <w:rPr>
          <w:rFonts w:ascii="Calibri" w:eastAsia="Times New Roman" w:hAnsi="Calibri" w:cs="Calibri"/>
          <w:b/>
          <w:bCs/>
          <w:color w:val="212121"/>
          <w:lang w:eastAsia="ja-JP"/>
        </w:rPr>
        <w:t>Lower Control Limit (LCL) </w:t>
      </w:r>
      <w:r w:rsidRPr="00952988">
        <w:rPr>
          <w:rFonts w:ascii="Calibri" w:eastAsia="Times New Roman" w:hAnsi="Calibri" w:cs="Calibri"/>
          <w:color w:val="212121"/>
          <w:lang w:eastAsia="ja-JP"/>
        </w:rPr>
        <w:t>we need to measure the average probability of Humana stock going up prior to the election. First, we show how this calculation is done without adjust</w:t>
      </w:r>
      <w:r>
        <w:rPr>
          <w:rFonts w:ascii="Calibri" w:eastAsia="Times New Roman" w:hAnsi="Calibri" w:cs="Calibri"/>
          <w:color w:val="212121"/>
          <w:lang w:eastAsia="ja-JP"/>
        </w:rPr>
        <w:t>ing for Nasdaq and S&amp;</w:t>
      </w:r>
      <w:r w:rsidRPr="00952988">
        <w:rPr>
          <w:rFonts w:ascii="Calibri" w:eastAsia="Times New Roman" w:hAnsi="Calibri" w:cs="Calibri"/>
          <w:color w:val="212121"/>
          <w:lang w:eastAsia="ja-JP"/>
        </w:rPr>
        <w:t>P healthcare stock prices.</w:t>
      </w:r>
    </w:p>
    <w:p w:rsidR="006E4893" w:rsidRDefault="006E4893" w:rsidP="006E4893">
      <w:pPr>
        <w:rPr>
          <w:b/>
        </w:rPr>
      </w:pPr>
    </w:p>
    <w:p w:rsidR="006E4893" w:rsidRDefault="006E4893" w:rsidP="006E4893">
      <w:r w:rsidRPr="00691D63">
        <w:rPr>
          <w:b/>
        </w:rPr>
        <w:t xml:space="preserve">Step </w:t>
      </w:r>
      <w:r>
        <w:rPr>
          <w:b/>
        </w:rPr>
        <w:t>1</w:t>
      </w:r>
      <w:r w:rsidRPr="00691D63">
        <w:rPr>
          <w:b/>
        </w:rPr>
        <w:t>: Break up our dataset into time</w:t>
      </w:r>
      <w:r>
        <w:rPr>
          <w:b/>
        </w:rPr>
        <w:t xml:space="preserve"> </w:t>
      </w:r>
      <w:r w:rsidRPr="00691D63">
        <w:rPr>
          <w:b/>
        </w:rPr>
        <w:t>periods</w:t>
      </w:r>
    </w:p>
    <w:p w:rsidR="006E4893" w:rsidRDefault="00257DE9" w:rsidP="006E4893">
      <w:pPr>
        <w:rPr>
          <w:rFonts w:ascii="Calibri" w:hAnsi="Calibri" w:cs="Calibri"/>
          <w:color w:val="212121"/>
          <w:shd w:val="clear" w:color="auto" w:fill="FFFFFF"/>
        </w:rPr>
      </w:pPr>
      <w:r>
        <w:rPr>
          <w:rFonts w:ascii="Calibri" w:hAnsi="Calibri" w:cs="Calibri"/>
          <w:color w:val="212121"/>
          <w:shd w:val="clear" w:color="auto" w:fill="FFFFFF"/>
        </w:rPr>
        <w:t>First,</w:t>
      </w:r>
      <w:r w:rsidR="006E4893">
        <w:rPr>
          <w:rFonts w:ascii="Calibri" w:hAnsi="Calibri" w:cs="Calibri"/>
          <w:color w:val="212121"/>
          <w:shd w:val="clear" w:color="auto" w:fill="FFFFFF"/>
        </w:rPr>
        <w:t xml:space="preserve"> we are going to break up our dataset of 120 records (60 pre-election and 60 post-election) into time periods.  Since we have 60 records pre-election, we will create 10 time periods consisting of 6 days the stock market was open.  Note that the days in our dataset may skip days, since the stock market is not always active daily (such as on holidays and weekends).  Additionally, the number of time periods is arbitrary and you may for the most part choose a different number of time periods.</w:t>
      </w:r>
    </w:p>
    <w:p w:rsidR="00DF1BA4" w:rsidRDefault="00DF1BA4" w:rsidP="00567CC0">
      <w:pPr>
        <w:rPr>
          <w:b/>
        </w:rPr>
      </w:pPr>
    </w:p>
    <w:p w:rsidR="006E4893" w:rsidRDefault="006E4893" w:rsidP="006E4893">
      <w:pPr>
        <w:rPr>
          <w:b/>
        </w:rPr>
      </w:pPr>
    </w:p>
    <w:p w:rsidR="006E4893" w:rsidRPr="00DD2CAA" w:rsidRDefault="006E4893" w:rsidP="006E4893">
      <w:pPr>
        <w:rPr>
          <w:b/>
        </w:rPr>
      </w:pPr>
      <w:r>
        <w:rPr>
          <w:b/>
        </w:rPr>
        <w:t>Step 2: Organize the strata</w:t>
      </w:r>
    </w:p>
    <w:p w:rsidR="006E4893" w:rsidRDefault="006E4893" w:rsidP="006E4893">
      <w:r>
        <w:rPr>
          <w:rFonts w:ascii="Calibri" w:hAnsi="Calibri" w:cs="Calibri"/>
          <w:color w:val="212121"/>
          <w:shd w:val="clear" w:color="auto" w:fill="FFFFFF"/>
        </w:rPr>
        <w:t>For a complete breakdown of the combinations in our dataset, let’s look at all the possible combinations (or strata) for the two alternative stocks that we are considering (S&amp;P Health, and Nasdaq).  The goal of our calculations is to make sure that the average probability of Humana going up is calculated in such a manner that before and after election will have the same trends in S&amp;P healthcare and Nasdaq.   Please note that in our data, whether each stock went down (indicated as 0) or up (indicated as 1) is binary and therefore can</w:t>
      </w:r>
      <w:r>
        <w:rPr>
          <w:rStyle w:val="apple-converted-space"/>
          <w:rFonts w:ascii="Calibri" w:hAnsi="Calibri" w:cs="Calibri"/>
          <w:color w:val="212121"/>
          <w:shd w:val="clear" w:color="auto" w:fill="FFFFFF"/>
        </w:rPr>
        <w:t> </w:t>
      </w:r>
      <w:r>
        <w:rPr>
          <w:rFonts w:ascii="Calibri" w:hAnsi="Calibri" w:cs="Calibri"/>
          <w:i/>
          <w:iCs/>
          <w:color w:val="212121"/>
          <w:shd w:val="clear" w:color="auto" w:fill="FFFFFF"/>
        </w:rPr>
        <w:t>only</w:t>
      </w:r>
      <w:r>
        <w:rPr>
          <w:rStyle w:val="apple-converted-space"/>
          <w:rFonts w:ascii="Calibri" w:hAnsi="Calibri" w:cs="Calibri"/>
          <w:color w:val="212121"/>
          <w:shd w:val="clear" w:color="auto" w:fill="FFFFFF"/>
        </w:rPr>
        <w:t> </w:t>
      </w:r>
      <w:r>
        <w:rPr>
          <w:rFonts w:ascii="Calibri" w:hAnsi="Calibri" w:cs="Calibri"/>
          <w:color w:val="212121"/>
          <w:shd w:val="clear" w:color="auto" w:fill="FFFFFF"/>
        </w:rPr>
        <w:t>be one of two values (either 0 or 1).</w:t>
      </w:r>
    </w:p>
    <w:tbl>
      <w:tblPr>
        <w:tblStyle w:val="TableGrid"/>
        <w:tblW w:w="9355" w:type="dxa"/>
        <w:tblLook w:val="04A0" w:firstRow="1" w:lastRow="0" w:firstColumn="1" w:lastColumn="0" w:noHBand="0" w:noVBand="1"/>
      </w:tblPr>
      <w:tblGrid>
        <w:gridCol w:w="4765"/>
        <w:gridCol w:w="4590"/>
      </w:tblGrid>
      <w:tr w:rsidR="006E4893" w:rsidTr="00396403">
        <w:tc>
          <w:tcPr>
            <w:tcW w:w="4765" w:type="dxa"/>
          </w:tcPr>
          <w:p w:rsidR="006E4893" w:rsidRPr="00DD2CAA" w:rsidRDefault="006E4893" w:rsidP="00396403">
            <w:pPr>
              <w:jc w:val="center"/>
              <w:rPr>
                <w:b/>
              </w:rPr>
            </w:pPr>
            <w:r w:rsidRPr="00DD2CAA">
              <w:rPr>
                <w:b/>
              </w:rPr>
              <w:t>Nasdaq</w:t>
            </w:r>
          </w:p>
        </w:tc>
        <w:tc>
          <w:tcPr>
            <w:tcW w:w="4590" w:type="dxa"/>
          </w:tcPr>
          <w:p w:rsidR="006E4893" w:rsidRPr="00DD2CAA" w:rsidRDefault="006E4893" w:rsidP="00396403">
            <w:pPr>
              <w:jc w:val="center"/>
              <w:rPr>
                <w:b/>
              </w:rPr>
            </w:pPr>
            <w:r w:rsidRPr="00DD2CAA">
              <w:rPr>
                <w:b/>
              </w:rPr>
              <w:t>S&amp;P</w:t>
            </w:r>
          </w:p>
        </w:tc>
      </w:tr>
      <w:tr w:rsidR="006E4893" w:rsidTr="00396403">
        <w:tc>
          <w:tcPr>
            <w:tcW w:w="4765" w:type="dxa"/>
          </w:tcPr>
          <w:p w:rsidR="006E4893" w:rsidRDefault="006E4893" w:rsidP="00396403">
            <w:pPr>
              <w:jc w:val="center"/>
            </w:pPr>
            <w:r>
              <w:t>0</w:t>
            </w:r>
          </w:p>
        </w:tc>
        <w:tc>
          <w:tcPr>
            <w:tcW w:w="4590" w:type="dxa"/>
          </w:tcPr>
          <w:p w:rsidR="006E4893" w:rsidRDefault="006E4893" w:rsidP="00396403">
            <w:pPr>
              <w:jc w:val="center"/>
            </w:pPr>
            <w:r>
              <w:t>0</w:t>
            </w:r>
          </w:p>
        </w:tc>
      </w:tr>
      <w:tr w:rsidR="006E4893" w:rsidTr="00396403">
        <w:tc>
          <w:tcPr>
            <w:tcW w:w="4765" w:type="dxa"/>
          </w:tcPr>
          <w:p w:rsidR="006E4893" w:rsidRDefault="006E4893" w:rsidP="00396403">
            <w:pPr>
              <w:jc w:val="center"/>
            </w:pPr>
            <w:r>
              <w:t>0</w:t>
            </w:r>
          </w:p>
        </w:tc>
        <w:tc>
          <w:tcPr>
            <w:tcW w:w="4590" w:type="dxa"/>
          </w:tcPr>
          <w:p w:rsidR="006E4893" w:rsidRDefault="006E4893" w:rsidP="00396403">
            <w:pPr>
              <w:jc w:val="center"/>
            </w:pPr>
            <w:r>
              <w:t>1</w:t>
            </w:r>
          </w:p>
        </w:tc>
      </w:tr>
      <w:tr w:rsidR="006E4893" w:rsidTr="00396403">
        <w:tc>
          <w:tcPr>
            <w:tcW w:w="4765" w:type="dxa"/>
          </w:tcPr>
          <w:p w:rsidR="006E4893" w:rsidRDefault="006E4893" w:rsidP="00396403">
            <w:pPr>
              <w:jc w:val="center"/>
            </w:pPr>
            <w:r>
              <w:t xml:space="preserve">1 </w:t>
            </w:r>
          </w:p>
        </w:tc>
        <w:tc>
          <w:tcPr>
            <w:tcW w:w="4590" w:type="dxa"/>
          </w:tcPr>
          <w:p w:rsidR="006E4893" w:rsidRDefault="006E4893" w:rsidP="00396403">
            <w:pPr>
              <w:jc w:val="center"/>
            </w:pPr>
            <w:r>
              <w:t>0</w:t>
            </w:r>
          </w:p>
        </w:tc>
      </w:tr>
      <w:tr w:rsidR="006E4893" w:rsidTr="00396403">
        <w:tc>
          <w:tcPr>
            <w:tcW w:w="4765" w:type="dxa"/>
          </w:tcPr>
          <w:p w:rsidR="006E4893" w:rsidRDefault="006E4893" w:rsidP="00396403">
            <w:pPr>
              <w:jc w:val="center"/>
            </w:pPr>
            <w:r>
              <w:t>1</w:t>
            </w:r>
          </w:p>
        </w:tc>
        <w:tc>
          <w:tcPr>
            <w:tcW w:w="4590" w:type="dxa"/>
          </w:tcPr>
          <w:p w:rsidR="006E4893" w:rsidRDefault="006E4893" w:rsidP="00396403">
            <w:pPr>
              <w:jc w:val="center"/>
            </w:pPr>
            <w:r>
              <w:t>1</w:t>
            </w:r>
          </w:p>
        </w:tc>
      </w:tr>
    </w:tbl>
    <w:p w:rsidR="006E4893" w:rsidRDefault="006E4893" w:rsidP="006E4893"/>
    <w:p w:rsidR="006E4893" w:rsidRDefault="006E4893" w:rsidP="006E4893">
      <w:pPr>
        <w:rPr>
          <w:rFonts w:ascii="Calibri" w:hAnsi="Calibri" w:cs="Calibri"/>
          <w:color w:val="212121"/>
          <w:shd w:val="clear" w:color="auto" w:fill="FFFFFF"/>
        </w:rPr>
      </w:pPr>
      <w:r>
        <w:t>As you can see, there are four possible combinations and we want these four combinations to occur as frequently before and after election.</w:t>
      </w:r>
      <w:r w:rsidRPr="0095161D">
        <w:rPr>
          <w:rFonts w:ascii="Calibri" w:hAnsi="Calibri" w:cs="Calibri"/>
          <w:color w:val="212121"/>
          <w:shd w:val="clear" w:color="auto" w:fill="FFFFFF"/>
        </w:rPr>
        <w:t xml:space="preserve"> </w:t>
      </w:r>
      <w:r>
        <w:rPr>
          <w:rFonts w:ascii="Calibri" w:hAnsi="Calibri" w:cs="Calibri"/>
          <w:color w:val="212121"/>
          <w:shd w:val="clear" w:color="auto" w:fill="FFFFFF"/>
        </w:rPr>
        <w:t xml:space="preserve"> All calculations of the adjusted control limits are done using these combinations. </w:t>
      </w:r>
    </w:p>
    <w:p w:rsidR="006E4893" w:rsidRDefault="006E4893" w:rsidP="00567CC0">
      <w:pPr>
        <w:rPr>
          <w:b/>
        </w:rPr>
      </w:pPr>
    </w:p>
    <w:p w:rsidR="00567CC0" w:rsidRPr="00DD2CAA" w:rsidRDefault="00567CC0" w:rsidP="00567CC0">
      <w:pPr>
        <w:rPr>
          <w:b/>
        </w:rPr>
      </w:pPr>
      <w:r w:rsidRPr="00DD2CAA">
        <w:rPr>
          <w:b/>
        </w:rPr>
        <w:t xml:space="preserve">Step </w:t>
      </w:r>
      <w:r w:rsidR="006E4893">
        <w:rPr>
          <w:b/>
        </w:rPr>
        <w:t>3</w:t>
      </w:r>
      <w:r w:rsidRPr="00DD2CAA">
        <w:rPr>
          <w:b/>
        </w:rPr>
        <w:t xml:space="preserve">: Calculate the </w:t>
      </w:r>
      <w:r>
        <w:rPr>
          <w:b/>
        </w:rPr>
        <w:t>P</w:t>
      </w:r>
      <w:r w:rsidRPr="00DD2CAA">
        <w:rPr>
          <w:b/>
        </w:rPr>
        <w:t>-</w:t>
      </w:r>
      <w:r>
        <w:rPr>
          <w:b/>
        </w:rPr>
        <w:t xml:space="preserve">Average using the unadjusted frequencies from </w:t>
      </w:r>
      <w:r w:rsidRPr="00DD2CAA">
        <w:rPr>
          <w:b/>
        </w:rPr>
        <w:t>the pre-election (controls) data</w:t>
      </w:r>
    </w:p>
    <w:p w:rsidR="00567CC0" w:rsidRDefault="00567CC0" w:rsidP="00567CC0">
      <w:pPr>
        <w:rPr>
          <w:rFonts w:ascii="Calibri" w:hAnsi="Calibri" w:cs="Calibri"/>
          <w:color w:val="212121"/>
          <w:shd w:val="clear" w:color="auto" w:fill="FFFFFF"/>
        </w:rPr>
      </w:pPr>
      <w:r>
        <w:rPr>
          <w:rFonts w:ascii="Calibri" w:hAnsi="Calibri" w:cs="Calibri"/>
          <w:color w:val="212121"/>
          <w:shd w:val="clear" w:color="auto" w:fill="FFFFFF"/>
        </w:rPr>
        <w:t xml:space="preserve">Let us </w:t>
      </w:r>
      <w:r w:rsidR="00B9451B">
        <w:rPr>
          <w:rFonts w:ascii="Calibri" w:hAnsi="Calibri" w:cs="Calibri"/>
          <w:color w:val="212121"/>
          <w:shd w:val="clear" w:color="auto" w:fill="FFFFFF"/>
        </w:rPr>
        <w:t>perform</w:t>
      </w:r>
      <w:r w:rsidR="0026223F">
        <w:rPr>
          <w:rFonts w:ascii="Calibri" w:hAnsi="Calibri" w:cs="Calibri"/>
          <w:color w:val="212121"/>
          <w:shd w:val="clear" w:color="auto" w:fill="FFFFFF"/>
        </w:rPr>
        <w:t xml:space="preserve"> our</w:t>
      </w:r>
      <w:r>
        <w:rPr>
          <w:rFonts w:ascii="Calibri" w:hAnsi="Calibri" w:cs="Calibri"/>
          <w:color w:val="212121"/>
          <w:shd w:val="clear" w:color="auto" w:fill="FFFFFF"/>
        </w:rPr>
        <w:t xml:space="preserve"> analysis without adjusting for the impacts of Nasdaq and S&amp;P Healthcare.  We </w:t>
      </w:r>
      <w:r w:rsidR="0076515B">
        <w:rPr>
          <w:rFonts w:ascii="Calibri" w:hAnsi="Calibri" w:cs="Calibri"/>
          <w:color w:val="212121"/>
          <w:shd w:val="clear" w:color="auto" w:fill="FFFFFF"/>
        </w:rPr>
        <w:t>start</w:t>
      </w:r>
      <w:r>
        <w:rPr>
          <w:rFonts w:ascii="Calibri" w:hAnsi="Calibri" w:cs="Calibri"/>
          <w:color w:val="212121"/>
          <w:shd w:val="clear" w:color="auto" w:fill="FFFFFF"/>
        </w:rPr>
        <w:t xml:space="preserve"> by </w:t>
      </w:r>
      <w:r w:rsidR="0076515B">
        <w:rPr>
          <w:rFonts w:ascii="Calibri" w:hAnsi="Calibri" w:cs="Calibri"/>
          <w:color w:val="212121"/>
          <w:shd w:val="clear" w:color="auto" w:fill="FFFFFF"/>
        </w:rPr>
        <w:t>counting</w:t>
      </w:r>
      <w:r>
        <w:rPr>
          <w:rFonts w:ascii="Calibri" w:hAnsi="Calibri" w:cs="Calibri"/>
          <w:color w:val="212121"/>
          <w:shd w:val="clear" w:color="auto" w:fill="FFFFFF"/>
        </w:rPr>
        <w:t xml:space="preserve"> the </w:t>
      </w:r>
      <w:r w:rsidR="0076515B">
        <w:rPr>
          <w:rFonts w:ascii="Calibri" w:hAnsi="Calibri" w:cs="Calibri"/>
          <w:color w:val="212121"/>
          <w:shd w:val="clear" w:color="auto" w:fill="FFFFFF"/>
        </w:rPr>
        <w:t xml:space="preserve">number of days </w:t>
      </w:r>
      <w:r>
        <w:rPr>
          <w:rFonts w:ascii="Calibri" w:hAnsi="Calibri" w:cs="Calibri"/>
          <w:color w:val="212121"/>
          <w:shd w:val="clear" w:color="auto" w:fill="FFFFFF"/>
        </w:rPr>
        <w:t>in each strata</w:t>
      </w:r>
      <w:r w:rsidR="0076515B">
        <w:rPr>
          <w:rFonts w:ascii="Calibri" w:hAnsi="Calibri" w:cs="Calibri"/>
          <w:color w:val="212121"/>
          <w:shd w:val="clear" w:color="auto" w:fill="FFFFFF"/>
        </w:rPr>
        <w:t xml:space="preserve"> and dividing it by the total number of days in the pre-election period (60 days)</w:t>
      </w:r>
      <w:r>
        <w:rPr>
          <w:rFonts w:ascii="Calibri" w:hAnsi="Calibri" w:cs="Calibri"/>
          <w:color w:val="212121"/>
          <w:shd w:val="clear" w:color="auto" w:fill="FFFFFF"/>
        </w:rPr>
        <w:t xml:space="preserve">.  </w:t>
      </w:r>
      <w:r w:rsidR="0076515B">
        <w:rPr>
          <w:rFonts w:ascii="Calibri" w:hAnsi="Calibri" w:cs="Calibri"/>
          <w:color w:val="212121"/>
          <w:shd w:val="clear" w:color="auto" w:fill="FFFFFF"/>
        </w:rPr>
        <w:t xml:space="preserve">This value is called the </w:t>
      </w:r>
      <w:r w:rsidR="0076515B" w:rsidRPr="0076515B">
        <w:rPr>
          <w:rFonts w:ascii="Calibri" w:hAnsi="Calibri" w:cs="Calibri"/>
          <w:i/>
          <w:color w:val="212121"/>
          <w:shd w:val="clear" w:color="auto" w:fill="FFFFFF"/>
        </w:rPr>
        <w:t>unadjusted frequency</w:t>
      </w:r>
      <w:r w:rsidR="0076515B">
        <w:rPr>
          <w:rFonts w:ascii="Calibri" w:hAnsi="Calibri" w:cs="Calibri"/>
          <w:color w:val="212121"/>
          <w:shd w:val="clear" w:color="auto" w:fill="FFFFFF"/>
        </w:rPr>
        <w:t>, s</w:t>
      </w:r>
      <w:r>
        <w:rPr>
          <w:rFonts w:ascii="Calibri" w:hAnsi="Calibri" w:cs="Calibri"/>
          <w:color w:val="212121"/>
          <w:shd w:val="clear" w:color="auto" w:fill="FFFFFF"/>
        </w:rPr>
        <w:t xml:space="preserve">ince no adjustments were </w:t>
      </w:r>
      <w:r w:rsidR="0076515B">
        <w:rPr>
          <w:rFonts w:ascii="Calibri" w:hAnsi="Calibri" w:cs="Calibri"/>
          <w:color w:val="212121"/>
          <w:shd w:val="clear" w:color="auto" w:fill="FFFFFF"/>
        </w:rPr>
        <w:t>made to this frequency</w:t>
      </w:r>
      <w:r>
        <w:rPr>
          <w:rFonts w:ascii="Calibri" w:hAnsi="Calibri" w:cs="Calibri"/>
          <w:color w:val="212121"/>
          <w:shd w:val="clear" w:color="auto" w:fill="FFFFFF"/>
        </w:rPr>
        <w:t xml:space="preserve">.  We </w:t>
      </w:r>
      <w:r w:rsidR="0076515B">
        <w:rPr>
          <w:rFonts w:ascii="Calibri" w:hAnsi="Calibri" w:cs="Calibri"/>
          <w:color w:val="212121"/>
          <w:shd w:val="clear" w:color="auto" w:fill="FFFFFF"/>
        </w:rPr>
        <w:t>then take the total number of days in each strata when the Humana stock was up and divide it by the total number of days in the pre-election period to get</w:t>
      </w:r>
      <w:r w:rsidR="00C76D34">
        <w:rPr>
          <w:rFonts w:ascii="Calibri" w:hAnsi="Calibri" w:cs="Calibri"/>
          <w:color w:val="212121"/>
          <w:shd w:val="clear" w:color="auto" w:fill="FFFFFF"/>
        </w:rPr>
        <w:t xml:space="preserve"> the rate the Humana stock went up</w:t>
      </w:r>
      <w:r>
        <w:rPr>
          <w:rFonts w:ascii="Calibri" w:hAnsi="Calibri" w:cs="Calibri"/>
          <w:color w:val="212121"/>
          <w:shd w:val="clear" w:color="auto" w:fill="FFFFFF"/>
        </w:rPr>
        <w:t>.  </w:t>
      </w:r>
      <w:r w:rsidR="00C76D34">
        <w:rPr>
          <w:rFonts w:ascii="Calibri" w:hAnsi="Calibri" w:cs="Calibri"/>
          <w:color w:val="212121"/>
          <w:shd w:val="clear" w:color="auto" w:fill="FFFFFF"/>
        </w:rPr>
        <w:t xml:space="preserve">We sum these four rates (one for each strata) which gives us the </w:t>
      </w:r>
      <w:r w:rsidR="00C76D34" w:rsidRPr="00121A8F">
        <w:rPr>
          <w:rFonts w:ascii="Calibri" w:hAnsi="Calibri" w:cs="Calibri"/>
          <w:b/>
          <w:color w:val="212121"/>
          <w:shd w:val="clear" w:color="auto" w:fill="FFFFFF"/>
        </w:rPr>
        <w:t>P-Average</w:t>
      </w:r>
      <w:r w:rsidR="00C76D34">
        <w:rPr>
          <w:rFonts w:ascii="Calibri" w:hAnsi="Calibri" w:cs="Calibri"/>
          <w:b/>
          <w:color w:val="212121"/>
          <w:shd w:val="clear" w:color="auto" w:fill="FFFFFF"/>
        </w:rPr>
        <w:t xml:space="preserve">. </w:t>
      </w:r>
      <w:r w:rsidR="00C76D34">
        <w:rPr>
          <w:rFonts w:ascii="Calibri" w:hAnsi="Calibri" w:cs="Calibri"/>
          <w:color w:val="212121"/>
          <w:shd w:val="clear" w:color="auto" w:fill="FFFFFF"/>
        </w:rPr>
        <w:t xml:space="preserve"> </w:t>
      </w:r>
      <w:r>
        <w:rPr>
          <w:rFonts w:ascii="Calibri" w:hAnsi="Calibri" w:cs="Calibri"/>
          <w:color w:val="212121"/>
          <w:shd w:val="clear" w:color="auto" w:fill="FFFFFF"/>
        </w:rPr>
        <w:t>The formulas in this slide show how each of these variables are calculated. </w:t>
      </w:r>
    </w:p>
    <w:p w:rsidR="0076515B" w:rsidRDefault="0076515B" w:rsidP="00567CC0"/>
    <w:p w:rsidR="005215CD" w:rsidRDefault="005215CD" w:rsidP="00567CC0"/>
    <w:p w:rsidR="005215CD" w:rsidRDefault="005215CD" w:rsidP="00567CC0"/>
    <w:p w:rsidR="005215CD" w:rsidRDefault="005215CD" w:rsidP="00567CC0"/>
    <w:p w:rsidR="005215CD" w:rsidRDefault="005215CD" w:rsidP="00567CC0"/>
    <w:p w:rsidR="005215CD" w:rsidRDefault="005215CD" w:rsidP="00567CC0"/>
    <w:p w:rsidR="005215CD" w:rsidRDefault="005215CD" w:rsidP="00567CC0"/>
    <w:tbl>
      <w:tblPr>
        <w:tblStyle w:val="TableGrid"/>
        <w:tblW w:w="0" w:type="auto"/>
        <w:tblLook w:val="04A0" w:firstRow="1" w:lastRow="0" w:firstColumn="1" w:lastColumn="0" w:noHBand="0" w:noVBand="1"/>
      </w:tblPr>
      <w:tblGrid>
        <w:gridCol w:w="2772"/>
        <w:gridCol w:w="2344"/>
        <w:gridCol w:w="1994"/>
        <w:gridCol w:w="2240"/>
      </w:tblGrid>
      <w:tr w:rsidR="00567CC0" w:rsidTr="008A22D2">
        <w:tc>
          <w:tcPr>
            <w:tcW w:w="2988" w:type="dxa"/>
            <w:vMerge w:val="restart"/>
            <w:vAlign w:val="center"/>
          </w:tcPr>
          <w:p w:rsidR="00567CC0" w:rsidRPr="00A74417" w:rsidRDefault="00567CC0" w:rsidP="008A22D2">
            <w:pPr>
              <w:jc w:val="center"/>
              <w:rPr>
                <w:b/>
              </w:rPr>
            </w:pPr>
            <w:r w:rsidRPr="00A74417">
              <w:rPr>
                <w:b/>
              </w:rPr>
              <w:lastRenderedPageBreak/>
              <w:t>Strata</w:t>
            </w:r>
          </w:p>
        </w:tc>
        <w:tc>
          <w:tcPr>
            <w:tcW w:w="6588" w:type="dxa"/>
            <w:gridSpan w:val="3"/>
          </w:tcPr>
          <w:p w:rsidR="00567CC0" w:rsidRDefault="00567CC0" w:rsidP="008A22D2">
            <w:pPr>
              <w:jc w:val="center"/>
              <w:rPr>
                <w:b/>
              </w:rPr>
            </w:pPr>
            <w:r>
              <w:rPr>
                <w:b/>
              </w:rPr>
              <w:t>Using Pre-Election (Controls) Data</w:t>
            </w:r>
          </w:p>
        </w:tc>
      </w:tr>
      <w:tr w:rsidR="00567CC0" w:rsidTr="008A22D2">
        <w:tc>
          <w:tcPr>
            <w:tcW w:w="2988" w:type="dxa"/>
            <w:vMerge/>
          </w:tcPr>
          <w:p w:rsidR="00567CC0" w:rsidRDefault="00567CC0" w:rsidP="008A22D2">
            <w:pPr>
              <w:jc w:val="center"/>
            </w:pPr>
          </w:p>
        </w:tc>
        <w:tc>
          <w:tcPr>
            <w:tcW w:w="2430" w:type="dxa"/>
          </w:tcPr>
          <w:p w:rsidR="00567CC0" w:rsidRPr="00B56205" w:rsidRDefault="00567CC0" w:rsidP="008A22D2">
            <w:pPr>
              <w:jc w:val="center"/>
              <w:rPr>
                <w:b/>
              </w:rPr>
            </w:pPr>
            <w:r w:rsidRPr="00B56205">
              <w:rPr>
                <w:b/>
              </w:rPr>
              <w:t>Strata Count when Humana Up</w:t>
            </w:r>
          </w:p>
        </w:tc>
        <w:tc>
          <w:tcPr>
            <w:tcW w:w="2033" w:type="dxa"/>
          </w:tcPr>
          <w:p w:rsidR="00567CC0" w:rsidRDefault="00567CC0" w:rsidP="008A22D2">
            <w:pPr>
              <w:jc w:val="center"/>
              <w:rPr>
                <w:b/>
              </w:rPr>
            </w:pPr>
            <w:r w:rsidRPr="00A74417">
              <w:rPr>
                <w:b/>
              </w:rPr>
              <w:t xml:space="preserve">Unadjusted </w:t>
            </w:r>
          </w:p>
          <w:p w:rsidR="00567CC0" w:rsidRDefault="00567CC0" w:rsidP="008A22D2">
            <w:pPr>
              <w:jc w:val="center"/>
            </w:pPr>
            <w:r w:rsidRPr="00A74417">
              <w:rPr>
                <w:b/>
              </w:rPr>
              <w:t>Frequency</w:t>
            </w:r>
          </w:p>
        </w:tc>
        <w:tc>
          <w:tcPr>
            <w:tcW w:w="2125" w:type="dxa"/>
          </w:tcPr>
          <w:p w:rsidR="00567CC0" w:rsidRPr="00A74417" w:rsidRDefault="0076515B" w:rsidP="008A22D2">
            <w:pPr>
              <w:jc w:val="center"/>
              <w:rPr>
                <w:b/>
              </w:rPr>
            </w:pPr>
            <w:r>
              <w:rPr>
                <w:b/>
              </w:rPr>
              <w:t>Rate</w:t>
            </w:r>
            <w:r w:rsidR="00567CC0" w:rsidRPr="00A74417">
              <w:rPr>
                <w:b/>
              </w:rPr>
              <w:t xml:space="preserve"> Humana Stock went Up</w:t>
            </w:r>
          </w:p>
        </w:tc>
      </w:tr>
      <w:tr w:rsidR="00567CC0" w:rsidTr="008A22D2">
        <w:tc>
          <w:tcPr>
            <w:tcW w:w="2988" w:type="dxa"/>
          </w:tcPr>
          <w:p w:rsidR="00567CC0" w:rsidRPr="00A74417" w:rsidRDefault="00567CC0" w:rsidP="008A22D2">
            <w:pPr>
              <w:rPr>
                <w:b/>
              </w:rPr>
            </w:pPr>
            <w:r w:rsidRPr="00A74417">
              <w:rPr>
                <w:b/>
              </w:rPr>
              <w:t xml:space="preserve">Nasdaq Down and S&amp;P </w:t>
            </w:r>
            <w:r>
              <w:rPr>
                <w:b/>
              </w:rPr>
              <w:t>Down</w:t>
            </w:r>
          </w:p>
          <w:p w:rsidR="00567CC0" w:rsidRDefault="00567CC0" w:rsidP="008A22D2">
            <w:r>
              <w:t>(Nasdaq=0 and S&amp;P=0)</w:t>
            </w:r>
          </w:p>
        </w:tc>
        <w:tc>
          <w:tcPr>
            <w:tcW w:w="2430" w:type="dxa"/>
          </w:tcPr>
          <w:p w:rsidR="00567CC0" w:rsidRDefault="00567CC0" w:rsidP="008A22D2">
            <w:pPr>
              <w:jc w:val="center"/>
            </w:pPr>
            <w:r w:rsidRPr="001D5ADE">
              <w:t>=SUMPRODUCT(</w:t>
            </w:r>
          </w:p>
          <w:p w:rsidR="00567CC0" w:rsidRDefault="00567CC0" w:rsidP="008A22D2">
            <w:pPr>
              <w:jc w:val="center"/>
            </w:pPr>
            <w:r w:rsidRPr="001D5ADE">
              <w:t>1-C3:C62,</w:t>
            </w:r>
          </w:p>
          <w:p w:rsidR="00567CC0" w:rsidRDefault="00567CC0" w:rsidP="008A22D2">
            <w:pPr>
              <w:jc w:val="center"/>
            </w:pPr>
            <w:r w:rsidRPr="001D5ADE">
              <w:t>1-E3:E62,G3:G62)</w:t>
            </w:r>
          </w:p>
        </w:tc>
        <w:tc>
          <w:tcPr>
            <w:tcW w:w="2033" w:type="dxa"/>
          </w:tcPr>
          <w:p w:rsidR="00567CC0" w:rsidRDefault="00567CC0" w:rsidP="008A22D2">
            <w:pPr>
              <w:jc w:val="center"/>
            </w:pPr>
            <w:r w:rsidRPr="00FE1FBB">
              <w:t>=SUMPRODUCT(</w:t>
            </w:r>
          </w:p>
          <w:p w:rsidR="00567CC0" w:rsidRDefault="00567CC0" w:rsidP="008A22D2">
            <w:pPr>
              <w:jc w:val="center"/>
            </w:pPr>
            <w:r>
              <w:t>1-</w:t>
            </w:r>
            <w:r w:rsidRPr="00FE1FBB">
              <w:t>C3:C62,</w:t>
            </w:r>
            <w:r>
              <w:t>1-</w:t>
            </w:r>
            <w:r w:rsidRPr="00FE1FBB">
              <w:t>E3:E62)/</w:t>
            </w:r>
          </w:p>
          <w:p w:rsidR="00567CC0" w:rsidRDefault="00567CC0" w:rsidP="008A22D2">
            <w:r w:rsidRPr="00FE1FBB">
              <w:t>COUNT(G3:G62)</w:t>
            </w:r>
          </w:p>
        </w:tc>
        <w:tc>
          <w:tcPr>
            <w:tcW w:w="2125" w:type="dxa"/>
          </w:tcPr>
          <w:p w:rsidR="00567CC0" w:rsidRDefault="00567CC0" w:rsidP="008A22D2">
            <w:pPr>
              <w:jc w:val="center"/>
            </w:pPr>
            <w:r w:rsidRPr="00BE0BF5">
              <w:t>=Q16/COUNT(G3:G62)</w:t>
            </w:r>
          </w:p>
        </w:tc>
      </w:tr>
      <w:tr w:rsidR="00567CC0" w:rsidTr="008A22D2">
        <w:tc>
          <w:tcPr>
            <w:tcW w:w="2988" w:type="dxa"/>
          </w:tcPr>
          <w:p w:rsidR="00567CC0" w:rsidRDefault="00567CC0" w:rsidP="008A22D2">
            <w:r w:rsidRPr="00A74417">
              <w:rPr>
                <w:b/>
              </w:rPr>
              <w:t>Nasdaq Down and S&amp;P Up</w:t>
            </w:r>
            <w:r>
              <w:t xml:space="preserve"> </w:t>
            </w:r>
          </w:p>
          <w:p w:rsidR="00567CC0" w:rsidRDefault="00567CC0" w:rsidP="008A22D2">
            <w:r>
              <w:t>(Nasdaq=0 and S&amp;P=1)</w:t>
            </w:r>
          </w:p>
        </w:tc>
        <w:tc>
          <w:tcPr>
            <w:tcW w:w="2430" w:type="dxa"/>
          </w:tcPr>
          <w:p w:rsidR="00567CC0" w:rsidRDefault="00567CC0" w:rsidP="008A22D2">
            <w:pPr>
              <w:jc w:val="center"/>
            </w:pPr>
            <w:r w:rsidRPr="001D5ADE">
              <w:t>=SUMPRODUCT(</w:t>
            </w:r>
          </w:p>
          <w:p w:rsidR="00567CC0" w:rsidRDefault="00567CC0" w:rsidP="008A22D2">
            <w:pPr>
              <w:jc w:val="center"/>
            </w:pPr>
            <w:r w:rsidRPr="001D5ADE">
              <w:t>1-C3:C62,</w:t>
            </w:r>
          </w:p>
          <w:p w:rsidR="00567CC0" w:rsidRDefault="00567CC0" w:rsidP="008A22D2">
            <w:pPr>
              <w:jc w:val="center"/>
            </w:pPr>
            <w:r w:rsidRPr="001D5ADE">
              <w:t>E3:E62,G3:G62)</w:t>
            </w:r>
          </w:p>
        </w:tc>
        <w:tc>
          <w:tcPr>
            <w:tcW w:w="2033" w:type="dxa"/>
          </w:tcPr>
          <w:p w:rsidR="00567CC0" w:rsidRDefault="00567CC0" w:rsidP="008A22D2">
            <w:pPr>
              <w:jc w:val="center"/>
            </w:pPr>
            <w:r w:rsidRPr="00FE1FBB">
              <w:t>=SUMPRODUCT(</w:t>
            </w:r>
          </w:p>
          <w:p w:rsidR="00567CC0" w:rsidRDefault="00567CC0" w:rsidP="008A22D2">
            <w:pPr>
              <w:jc w:val="center"/>
            </w:pPr>
            <w:r>
              <w:t>1-</w:t>
            </w:r>
            <w:r w:rsidRPr="00FE1FBB">
              <w:t>C3:C62,E3:E62)/</w:t>
            </w:r>
          </w:p>
          <w:p w:rsidR="00567CC0" w:rsidRDefault="00567CC0" w:rsidP="008A22D2">
            <w:pPr>
              <w:jc w:val="center"/>
            </w:pPr>
            <w:r w:rsidRPr="00FE1FBB">
              <w:t>COUNT(G3:G62)</w:t>
            </w:r>
          </w:p>
        </w:tc>
        <w:tc>
          <w:tcPr>
            <w:tcW w:w="2125" w:type="dxa"/>
          </w:tcPr>
          <w:p w:rsidR="00567CC0" w:rsidRDefault="00567CC0" w:rsidP="008A22D2">
            <w:pPr>
              <w:jc w:val="center"/>
            </w:pPr>
            <w:r w:rsidRPr="00BE0BF5">
              <w:t>=</w:t>
            </w:r>
            <w:r>
              <w:t>R</w:t>
            </w:r>
            <w:r w:rsidRPr="00BE0BF5">
              <w:t>16/COUNT(G3:G62)</w:t>
            </w:r>
          </w:p>
        </w:tc>
      </w:tr>
      <w:tr w:rsidR="00567CC0" w:rsidTr="008A22D2">
        <w:tc>
          <w:tcPr>
            <w:tcW w:w="2988" w:type="dxa"/>
          </w:tcPr>
          <w:p w:rsidR="00567CC0" w:rsidRDefault="00567CC0" w:rsidP="008A22D2">
            <w:r w:rsidRPr="00A74417">
              <w:rPr>
                <w:b/>
              </w:rPr>
              <w:t xml:space="preserve">Nasdaq </w:t>
            </w:r>
            <w:r>
              <w:rPr>
                <w:b/>
              </w:rPr>
              <w:t>Up</w:t>
            </w:r>
            <w:r w:rsidRPr="00A74417">
              <w:rPr>
                <w:b/>
              </w:rPr>
              <w:t xml:space="preserve"> and S&amp;P </w:t>
            </w:r>
            <w:r>
              <w:rPr>
                <w:b/>
              </w:rPr>
              <w:t>Down</w:t>
            </w:r>
            <w:r>
              <w:t xml:space="preserve"> </w:t>
            </w:r>
          </w:p>
          <w:p w:rsidR="00567CC0" w:rsidRDefault="00567CC0" w:rsidP="008A22D2">
            <w:r>
              <w:t>(Nasdaq=1 and S&amp;P=0)</w:t>
            </w:r>
          </w:p>
        </w:tc>
        <w:tc>
          <w:tcPr>
            <w:tcW w:w="2430" w:type="dxa"/>
          </w:tcPr>
          <w:p w:rsidR="00567CC0" w:rsidRDefault="00567CC0" w:rsidP="008A22D2">
            <w:pPr>
              <w:jc w:val="center"/>
            </w:pPr>
            <w:r w:rsidRPr="001D5ADE">
              <w:t>=SUMPRODUCT(</w:t>
            </w:r>
          </w:p>
          <w:p w:rsidR="00567CC0" w:rsidRDefault="00567CC0" w:rsidP="008A22D2">
            <w:pPr>
              <w:jc w:val="center"/>
            </w:pPr>
            <w:r w:rsidRPr="001D5ADE">
              <w:t>C3:C62,</w:t>
            </w:r>
          </w:p>
          <w:p w:rsidR="00567CC0" w:rsidRDefault="00567CC0" w:rsidP="008A22D2">
            <w:pPr>
              <w:jc w:val="center"/>
            </w:pPr>
            <w:r w:rsidRPr="001D5ADE">
              <w:t>1-E3:E62,G3:G62)</w:t>
            </w:r>
          </w:p>
        </w:tc>
        <w:tc>
          <w:tcPr>
            <w:tcW w:w="2033" w:type="dxa"/>
          </w:tcPr>
          <w:p w:rsidR="00567CC0" w:rsidRDefault="00567CC0" w:rsidP="008A22D2">
            <w:pPr>
              <w:jc w:val="center"/>
            </w:pPr>
            <w:r w:rsidRPr="00FE1FBB">
              <w:t>=SUMPRODUCT(</w:t>
            </w:r>
          </w:p>
          <w:p w:rsidR="00567CC0" w:rsidRDefault="00567CC0" w:rsidP="008A22D2">
            <w:pPr>
              <w:jc w:val="center"/>
            </w:pPr>
            <w:r w:rsidRPr="00FE1FBB">
              <w:t>C3:C62,</w:t>
            </w:r>
            <w:r>
              <w:t>1-</w:t>
            </w:r>
            <w:r w:rsidRPr="00FE1FBB">
              <w:t>E3:E62)/</w:t>
            </w:r>
          </w:p>
          <w:p w:rsidR="00567CC0" w:rsidRDefault="00567CC0" w:rsidP="008A22D2">
            <w:pPr>
              <w:jc w:val="center"/>
            </w:pPr>
            <w:r w:rsidRPr="00FE1FBB">
              <w:t>COUNT(G3:G62)</w:t>
            </w:r>
          </w:p>
        </w:tc>
        <w:tc>
          <w:tcPr>
            <w:tcW w:w="2125" w:type="dxa"/>
          </w:tcPr>
          <w:p w:rsidR="00567CC0" w:rsidRDefault="00567CC0" w:rsidP="008A22D2">
            <w:pPr>
              <w:jc w:val="center"/>
            </w:pPr>
            <w:r w:rsidRPr="00BE0BF5">
              <w:t>=</w:t>
            </w:r>
            <w:r>
              <w:t>S</w:t>
            </w:r>
            <w:r w:rsidRPr="00BE0BF5">
              <w:t>16/COUNT(G3:G62)</w:t>
            </w:r>
          </w:p>
        </w:tc>
      </w:tr>
      <w:tr w:rsidR="00567CC0" w:rsidTr="008A22D2">
        <w:tc>
          <w:tcPr>
            <w:tcW w:w="2988" w:type="dxa"/>
          </w:tcPr>
          <w:p w:rsidR="00567CC0" w:rsidRDefault="00567CC0" w:rsidP="008A22D2">
            <w:r w:rsidRPr="00A74417">
              <w:rPr>
                <w:b/>
              </w:rPr>
              <w:t xml:space="preserve">Nasdaq </w:t>
            </w:r>
            <w:r>
              <w:rPr>
                <w:b/>
              </w:rPr>
              <w:t>Up</w:t>
            </w:r>
            <w:r w:rsidRPr="00A74417">
              <w:rPr>
                <w:b/>
              </w:rPr>
              <w:t xml:space="preserve"> and S&amp;P Up</w:t>
            </w:r>
            <w:r>
              <w:t xml:space="preserve"> </w:t>
            </w:r>
          </w:p>
          <w:p w:rsidR="00567CC0" w:rsidRDefault="00567CC0" w:rsidP="008A22D2">
            <w:r>
              <w:t>(Nasdaq=1 and S&amp;P=1)</w:t>
            </w:r>
          </w:p>
        </w:tc>
        <w:tc>
          <w:tcPr>
            <w:tcW w:w="2430" w:type="dxa"/>
          </w:tcPr>
          <w:p w:rsidR="00567CC0" w:rsidRDefault="00567CC0" w:rsidP="008A22D2">
            <w:pPr>
              <w:jc w:val="center"/>
            </w:pPr>
            <w:r w:rsidRPr="001D5ADE">
              <w:t>=SUMPRODUCT(</w:t>
            </w:r>
          </w:p>
          <w:p w:rsidR="00567CC0" w:rsidRDefault="00567CC0" w:rsidP="008A22D2">
            <w:pPr>
              <w:jc w:val="center"/>
            </w:pPr>
            <w:r w:rsidRPr="001D5ADE">
              <w:t>C3:C62,</w:t>
            </w:r>
          </w:p>
          <w:p w:rsidR="00567CC0" w:rsidRDefault="00567CC0" w:rsidP="008A22D2">
            <w:pPr>
              <w:jc w:val="center"/>
            </w:pPr>
            <w:r w:rsidRPr="001D5ADE">
              <w:t>E3:E62,G3:G62)</w:t>
            </w:r>
          </w:p>
        </w:tc>
        <w:tc>
          <w:tcPr>
            <w:tcW w:w="2033" w:type="dxa"/>
          </w:tcPr>
          <w:p w:rsidR="00567CC0" w:rsidRDefault="00567CC0" w:rsidP="008A22D2">
            <w:pPr>
              <w:jc w:val="center"/>
            </w:pPr>
            <w:r w:rsidRPr="00FE1FBB">
              <w:t>=SUMPRODUCT(</w:t>
            </w:r>
          </w:p>
          <w:p w:rsidR="00567CC0" w:rsidRDefault="00567CC0" w:rsidP="008A22D2">
            <w:pPr>
              <w:jc w:val="center"/>
            </w:pPr>
            <w:r w:rsidRPr="00FE1FBB">
              <w:t>C3:C62,E3:E62)/</w:t>
            </w:r>
          </w:p>
          <w:p w:rsidR="00567CC0" w:rsidRDefault="00567CC0" w:rsidP="008A22D2">
            <w:pPr>
              <w:jc w:val="center"/>
            </w:pPr>
            <w:r w:rsidRPr="00FE1FBB">
              <w:t>COUNT(G3:G62)</w:t>
            </w:r>
          </w:p>
        </w:tc>
        <w:tc>
          <w:tcPr>
            <w:tcW w:w="2125" w:type="dxa"/>
          </w:tcPr>
          <w:p w:rsidR="00567CC0" w:rsidRDefault="00567CC0" w:rsidP="008A22D2">
            <w:pPr>
              <w:jc w:val="center"/>
            </w:pPr>
            <w:r w:rsidRPr="00BE0BF5">
              <w:t>=</w:t>
            </w:r>
            <w:r>
              <w:t>T</w:t>
            </w:r>
            <w:r w:rsidRPr="00BE0BF5">
              <w:t>16/COUNT(G3:G62)</w:t>
            </w:r>
          </w:p>
        </w:tc>
      </w:tr>
      <w:tr w:rsidR="00567CC0" w:rsidTr="008A22D2">
        <w:tc>
          <w:tcPr>
            <w:tcW w:w="7451" w:type="dxa"/>
            <w:gridSpan w:val="3"/>
          </w:tcPr>
          <w:p w:rsidR="00567CC0" w:rsidRPr="00A74417" w:rsidRDefault="00567CC0" w:rsidP="008A22D2">
            <w:pPr>
              <w:jc w:val="right"/>
              <w:rPr>
                <w:b/>
              </w:rPr>
            </w:pPr>
            <w:r>
              <w:rPr>
                <w:b/>
              </w:rPr>
              <w:t>P</w:t>
            </w:r>
            <w:r w:rsidRPr="00A74417">
              <w:rPr>
                <w:b/>
              </w:rPr>
              <w:t>-</w:t>
            </w:r>
            <w:r>
              <w:rPr>
                <w:b/>
              </w:rPr>
              <w:t>A</w:t>
            </w:r>
            <w:r w:rsidRPr="00A74417">
              <w:rPr>
                <w:b/>
              </w:rPr>
              <w:t>verage</w:t>
            </w:r>
          </w:p>
        </w:tc>
        <w:tc>
          <w:tcPr>
            <w:tcW w:w="2125" w:type="dxa"/>
          </w:tcPr>
          <w:p w:rsidR="00567CC0" w:rsidRDefault="006E4893" w:rsidP="008A22D2">
            <w:pPr>
              <w:jc w:val="center"/>
            </w:pPr>
            <w:r w:rsidRPr="006E4893">
              <w:t>=SUM(S16:S19)</w:t>
            </w:r>
          </w:p>
        </w:tc>
      </w:tr>
    </w:tbl>
    <w:p w:rsidR="00567CC0" w:rsidRDefault="00567CC0" w:rsidP="00567CC0">
      <w:pPr>
        <w:rPr>
          <w:noProof/>
          <w:lang w:eastAsia="ja-JP"/>
        </w:rPr>
      </w:pPr>
    </w:p>
    <w:p w:rsidR="00567CC0" w:rsidRDefault="00567CC0" w:rsidP="00567CC0">
      <w:pPr>
        <w:rPr>
          <w:rFonts w:ascii="Calibri" w:hAnsi="Calibri" w:cs="Calibri"/>
          <w:color w:val="212121"/>
          <w:shd w:val="clear" w:color="auto" w:fill="FFFFFF"/>
        </w:rPr>
      </w:pPr>
      <w:r>
        <w:rPr>
          <w:rFonts w:ascii="Calibri" w:hAnsi="Calibri" w:cs="Calibri"/>
          <w:color w:val="212121"/>
          <w:shd w:val="clear" w:color="auto" w:fill="FFFFFF"/>
        </w:rPr>
        <w:t xml:space="preserve">Keep in mind that for binary data, the SUMPRODUCT function calculates the number of times two or more variables co-occur.  </w:t>
      </w:r>
      <w:r w:rsidR="00876308">
        <w:rPr>
          <w:rFonts w:ascii="Calibri" w:hAnsi="Calibri" w:cs="Calibri"/>
          <w:color w:val="212121"/>
          <w:shd w:val="clear" w:color="auto" w:fill="FFFFFF"/>
        </w:rPr>
        <w:t xml:space="preserve">For example, </w:t>
      </w:r>
      <w:r>
        <w:rPr>
          <w:rFonts w:ascii="Calibri" w:hAnsi="Calibri" w:cs="Calibri"/>
          <w:color w:val="212121"/>
          <w:shd w:val="clear" w:color="auto" w:fill="FFFFFF"/>
        </w:rPr>
        <w:t xml:space="preserve">the formula in the last row calculates the number of times Nasdaq was up, S&amp;P was up and Human went up.  All three variables must be 1 before the product </w:t>
      </w:r>
      <w:r w:rsidR="0076515B">
        <w:rPr>
          <w:rFonts w:ascii="Calibri" w:hAnsi="Calibri" w:cs="Calibri"/>
          <w:color w:val="212121"/>
          <w:shd w:val="clear" w:color="auto" w:fill="FFFFFF"/>
        </w:rPr>
        <w:t xml:space="preserve">of the values </w:t>
      </w:r>
      <w:r>
        <w:rPr>
          <w:rFonts w:ascii="Calibri" w:hAnsi="Calibri" w:cs="Calibri"/>
          <w:color w:val="212121"/>
          <w:shd w:val="clear" w:color="auto" w:fill="FFFFFF"/>
        </w:rPr>
        <w:t>will be 1 and count</w:t>
      </w:r>
      <w:r w:rsidR="0076515B">
        <w:rPr>
          <w:rFonts w:ascii="Calibri" w:hAnsi="Calibri" w:cs="Calibri"/>
          <w:color w:val="212121"/>
          <w:shd w:val="clear" w:color="auto" w:fill="FFFFFF"/>
        </w:rPr>
        <w:t xml:space="preserve"> towards the total sum</w:t>
      </w:r>
      <w:r>
        <w:rPr>
          <w:rFonts w:ascii="Calibri" w:hAnsi="Calibri" w:cs="Calibri"/>
          <w:color w:val="212121"/>
          <w:shd w:val="clear" w:color="auto" w:fill="FFFFFF"/>
        </w:rPr>
        <w:t xml:space="preserve">. If any of the three variables is 0 then the product is 0 and it does not add to the sum.  </w:t>
      </w:r>
    </w:p>
    <w:p w:rsidR="00567CC0" w:rsidRDefault="00567CC0" w:rsidP="00567CC0">
      <w:pPr>
        <w:rPr>
          <w:rFonts w:ascii="Calibri" w:hAnsi="Calibri" w:cs="Calibri"/>
          <w:color w:val="212121"/>
          <w:shd w:val="clear" w:color="auto" w:fill="FFFFFF"/>
        </w:rPr>
      </w:pPr>
      <w:r>
        <w:rPr>
          <w:rFonts w:ascii="Calibri" w:hAnsi="Calibri" w:cs="Calibri"/>
          <w:color w:val="212121"/>
          <w:shd w:val="clear" w:color="auto" w:fill="FFFFFF"/>
        </w:rPr>
        <w:t>The above calculations performed in Excel produce the following:</w:t>
      </w:r>
    </w:p>
    <w:p w:rsidR="00567CC0" w:rsidRDefault="00567CC0" w:rsidP="00567CC0">
      <w:r>
        <w:rPr>
          <w:noProof/>
        </w:rPr>
        <w:drawing>
          <wp:inline distT="0" distB="0" distL="0" distR="0" wp14:anchorId="51B323E2" wp14:editId="607476A8">
            <wp:extent cx="5943600" cy="23882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88235"/>
                    </a:xfrm>
                    <a:prstGeom prst="rect">
                      <a:avLst/>
                    </a:prstGeom>
                  </pic:spPr>
                </pic:pic>
              </a:graphicData>
            </a:graphic>
          </wp:inline>
        </w:drawing>
      </w:r>
    </w:p>
    <w:p w:rsidR="00E0242D" w:rsidRPr="00C0302B" w:rsidRDefault="00C76D34" w:rsidP="00E0242D">
      <w:pPr>
        <w:shd w:val="clear" w:color="auto" w:fill="FFFFFF"/>
        <w:rPr>
          <w:rFonts w:ascii="Segoe UI" w:eastAsia="Times New Roman" w:hAnsi="Segoe UI" w:cs="Segoe UI"/>
          <w:color w:val="212121"/>
          <w:sz w:val="23"/>
          <w:szCs w:val="23"/>
          <w:lang w:eastAsia="ja-JP"/>
        </w:rPr>
      </w:pPr>
      <w:r>
        <w:rPr>
          <w:rFonts w:ascii="Calibri" w:eastAsia="Times New Roman" w:hAnsi="Calibri" w:cs="Calibri"/>
          <w:bCs/>
          <w:color w:val="212121"/>
          <w:lang w:eastAsia="ja-JP"/>
        </w:rPr>
        <w:t xml:space="preserve">In the excel file, </w:t>
      </w:r>
      <w:r w:rsidRPr="00C0302B">
        <w:rPr>
          <w:rFonts w:ascii="Calibri" w:eastAsia="Times New Roman" w:hAnsi="Calibri" w:cs="Calibri"/>
          <w:b/>
          <w:bCs/>
          <w:color w:val="212121"/>
          <w:lang w:eastAsia="ja-JP"/>
        </w:rPr>
        <w:t>$S$20 </w:t>
      </w:r>
      <w:r w:rsidRPr="00C0302B">
        <w:rPr>
          <w:rFonts w:ascii="Calibri" w:eastAsia="Times New Roman" w:hAnsi="Calibri" w:cs="Calibri"/>
          <w:color w:val="212121"/>
          <w:lang w:eastAsia="ja-JP"/>
        </w:rPr>
        <w:t>is the P-Average.</w:t>
      </w:r>
      <w:r w:rsidR="00E0242D" w:rsidRPr="00E0242D">
        <w:rPr>
          <w:rFonts w:ascii="Calibri" w:eastAsia="Times New Roman" w:hAnsi="Calibri" w:cs="Calibri"/>
          <w:color w:val="212121"/>
          <w:lang w:eastAsia="ja-JP"/>
        </w:rPr>
        <w:t xml:space="preserve"> </w:t>
      </w:r>
      <w:r w:rsidR="00E0242D">
        <w:rPr>
          <w:rFonts w:ascii="Calibri" w:eastAsia="Times New Roman" w:hAnsi="Calibri" w:cs="Calibri"/>
          <w:color w:val="212121"/>
          <w:lang w:eastAsia="ja-JP"/>
        </w:rPr>
        <w:t xml:space="preserve"> Taking the </w:t>
      </w:r>
      <w:r w:rsidR="00E0242D" w:rsidRPr="00E0242D">
        <w:rPr>
          <w:rFonts w:ascii="Calibri" w:eastAsia="Times New Roman" w:hAnsi="Calibri" w:cs="Calibri"/>
          <w:b/>
          <w:color w:val="212121"/>
          <w:lang w:eastAsia="ja-JP"/>
        </w:rPr>
        <w:t>P-Average</w:t>
      </w:r>
      <w:r w:rsidR="00E0242D">
        <w:rPr>
          <w:rFonts w:ascii="Calibri" w:eastAsia="Times New Roman" w:hAnsi="Calibri" w:cs="Calibri"/>
          <w:color w:val="212121"/>
          <w:lang w:eastAsia="ja-JP"/>
        </w:rPr>
        <w:t>, we can calculate t</w:t>
      </w:r>
      <w:r w:rsidR="00E0242D" w:rsidRPr="00C0302B">
        <w:rPr>
          <w:rFonts w:ascii="Calibri" w:eastAsia="Times New Roman" w:hAnsi="Calibri" w:cs="Calibri"/>
          <w:color w:val="212121"/>
          <w:lang w:eastAsia="ja-JP"/>
        </w:rPr>
        <w:t>he UCL in Excel as  </w:t>
      </w:r>
      <w:r w:rsidR="00E0242D" w:rsidRPr="00C0302B">
        <w:rPr>
          <w:rFonts w:ascii="Calibri" w:eastAsia="Times New Roman" w:hAnsi="Calibri" w:cs="Calibri"/>
          <w:b/>
          <w:bCs/>
          <w:color w:val="212121"/>
          <w:lang w:eastAsia="ja-JP"/>
        </w:rPr>
        <w:t>=</w:t>
      </w:r>
      <w:r w:rsidR="00E0242D">
        <w:rPr>
          <w:rFonts w:ascii="Calibri" w:eastAsia="Times New Roman" w:hAnsi="Calibri" w:cs="Calibri"/>
          <w:b/>
          <w:bCs/>
          <w:color w:val="212121"/>
          <w:lang w:eastAsia="ja-JP"/>
        </w:rPr>
        <w:t>IF(</w:t>
      </w:r>
      <w:r w:rsidR="00E0242D" w:rsidRPr="00C0302B">
        <w:rPr>
          <w:rFonts w:ascii="Calibri" w:eastAsia="Times New Roman" w:hAnsi="Calibri" w:cs="Calibri"/>
          <w:b/>
          <w:bCs/>
          <w:color w:val="212121"/>
          <w:lang w:eastAsia="ja-JP"/>
        </w:rPr>
        <w:t>$S$20+3*SQRT($S$20*(1-$S$20)/6)</w:t>
      </w:r>
      <w:r w:rsidR="00E0242D">
        <w:rPr>
          <w:rFonts w:ascii="Calibri" w:eastAsia="Times New Roman" w:hAnsi="Calibri" w:cs="Calibri"/>
          <w:b/>
          <w:bCs/>
          <w:color w:val="212121"/>
          <w:lang w:eastAsia="ja-JP"/>
        </w:rPr>
        <w:t>&gt;1,1,</w:t>
      </w:r>
      <w:r w:rsidR="00E0242D" w:rsidRPr="00DF1BA4">
        <w:rPr>
          <w:rFonts w:ascii="Calibri" w:eastAsia="Times New Roman" w:hAnsi="Calibri" w:cs="Calibri"/>
          <w:b/>
          <w:bCs/>
          <w:color w:val="212121"/>
          <w:lang w:eastAsia="ja-JP"/>
        </w:rPr>
        <w:t xml:space="preserve"> </w:t>
      </w:r>
      <w:r w:rsidR="00E0242D" w:rsidRPr="00C0302B">
        <w:rPr>
          <w:rFonts w:ascii="Calibri" w:eastAsia="Times New Roman" w:hAnsi="Calibri" w:cs="Calibri"/>
          <w:b/>
          <w:bCs/>
          <w:color w:val="212121"/>
          <w:lang w:eastAsia="ja-JP"/>
        </w:rPr>
        <w:t>$S$20+3*SQRT($S$20*(1-$S$20)/6)</w:t>
      </w:r>
      <w:r w:rsidR="00E0242D">
        <w:rPr>
          <w:rFonts w:ascii="Calibri" w:eastAsia="Times New Roman" w:hAnsi="Calibri" w:cs="Calibri"/>
          <w:b/>
          <w:bCs/>
          <w:color w:val="212121"/>
          <w:lang w:eastAsia="ja-JP"/>
        </w:rPr>
        <w:t>)</w:t>
      </w:r>
      <w:r w:rsidR="00E0242D" w:rsidRPr="00C0302B">
        <w:rPr>
          <w:rFonts w:ascii="Calibri" w:eastAsia="Times New Roman" w:hAnsi="Calibri" w:cs="Calibri"/>
          <w:color w:val="212121"/>
          <w:lang w:eastAsia="ja-JP"/>
        </w:rPr>
        <w:t> and the LCL is calculated as </w:t>
      </w:r>
      <w:r w:rsidR="00E0242D" w:rsidRPr="00C0302B">
        <w:rPr>
          <w:rFonts w:ascii="Calibri" w:eastAsia="Times New Roman" w:hAnsi="Calibri" w:cs="Calibri"/>
          <w:b/>
          <w:bCs/>
          <w:color w:val="212121"/>
          <w:lang w:eastAsia="ja-JP"/>
        </w:rPr>
        <w:t>=IF($S$20-3*SQRT($S$20*(1-$S$20)/6)&lt;0,0,$S$20-3*SQRT(($S$20*(1-$S$20))/6))</w:t>
      </w:r>
      <w:r w:rsidR="00E0242D" w:rsidRPr="00C0302B">
        <w:rPr>
          <w:rFonts w:ascii="Calibri" w:eastAsia="Times New Roman" w:hAnsi="Calibri" w:cs="Calibri"/>
          <w:color w:val="212121"/>
          <w:lang w:eastAsia="ja-JP"/>
        </w:rPr>
        <w:t>. </w:t>
      </w:r>
      <w:r w:rsidR="00E0242D">
        <w:rPr>
          <w:rFonts w:ascii="Calibri" w:eastAsia="Times New Roman" w:hAnsi="Calibri" w:cs="Calibri"/>
          <w:color w:val="212121"/>
          <w:lang w:eastAsia="ja-JP"/>
        </w:rPr>
        <w:t>The if statement adds the clause that if the UCL is above 1 then round it to 1.  T</w:t>
      </w:r>
      <w:r w:rsidR="00E0242D" w:rsidRPr="00C0302B">
        <w:rPr>
          <w:rFonts w:ascii="Calibri" w:eastAsia="Times New Roman" w:hAnsi="Calibri" w:cs="Calibri"/>
          <w:color w:val="212121"/>
          <w:lang w:eastAsia="ja-JP"/>
        </w:rPr>
        <w:t xml:space="preserve">he </w:t>
      </w:r>
      <w:r w:rsidR="00E0242D">
        <w:rPr>
          <w:rFonts w:ascii="Calibri" w:eastAsia="Times New Roman" w:hAnsi="Calibri" w:cs="Calibri"/>
          <w:color w:val="212121"/>
          <w:lang w:eastAsia="ja-JP"/>
        </w:rPr>
        <w:t xml:space="preserve">next </w:t>
      </w:r>
      <w:r w:rsidR="00E0242D" w:rsidRPr="00C0302B">
        <w:rPr>
          <w:rFonts w:ascii="Calibri" w:eastAsia="Times New Roman" w:hAnsi="Calibri" w:cs="Calibri"/>
          <w:color w:val="212121"/>
          <w:lang w:eastAsia="ja-JP"/>
        </w:rPr>
        <w:t xml:space="preserve">if statement adds the </w:t>
      </w:r>
      <w:r w:rsidR="00E0242D" w:rsidRPr="00C0302B">
        <w:rPr>
          <w:rFonts w:ascii="Calibri" w:eastAsia="Times New Roman" w:hAnsi="Calibri" w:cs="Calibri"/>
          <w:color w:val="212121"/>
          <w:lang w:eastAsia="ja-JP"/>
        </w:rPr>
        <w:lastRenderedPageBreak/>
        <w:t xml:space="preserve">clause if the LCL is below 0 then round it to 0 since LCLs cannot be negative.   The </w:t>
      </w:r>
      <w:r w:rsidR="00E0242D" w:rsidRPr="00DF1BA4">
        <w:rPr>
          <w:rFonts w:ascii="Calibri" w:eastAsia="Times New Roman" w:hAnsi="Calibri" w:cs="Calibri"/>
          <w:b/>
          <w:color w:val="212121"/>
          <w:lang w:eastAsia="ja-JP"/>
        </w:rPr>
        <w:t>LCL</w:t>
      </w:r>
      <w:r w:rsidR="00E0242D" w:rsidRPr="00C0302B">
        <w:rPr>
          <w:rFonts w:ascii="Calibri" w:eastAsia="Times New Roman" w:hAnsi="Calibri" w:cs="Calibri"/>
          <w:color w:val="212121"/>
          <w:lang w:eastAsia="ja-JP"/>
        </w:rPr>
        <w:t xml:space="preserve"> and the </w:t>
      </w:r>
      <w:r w:rsidR="00E0242D" w:rsidRPr="00DF1BA4">
        <w:rPr>
          <w:rFonts w:ascii="Calibri" w:eastAsia="Times New Roman" w:hAnsi="Calibri" w:cs="Calibri"/>
          <w:b/>
          <w:color w:val="212121"/>
          <w:lang w:eastAsia="ja-JP"/>
        </w:rPr>
        <w:t>UCL</w:t>
      </w:r>
      <w:r w:rsidR="00E0242D" w:rsidRPr="00C0302B">
        <w:rPr>
          <w:rFonts w:ascii="Calibri" w:eastAsia="Times New Roman" w:hAnsi="Calibri" w:cs="Calibri"/>
          <w:color w:val="212121"/>
          <w:lang w:eastAsia="ja-JP"/>
        </w:rPr>
        <w:t xml:space="preserve"> </w:t>
      </w:r>
      <w:r w:rsidR="00E0242D">
        <w:rPr>
          <w:rFonts w:ascii="Calibri" w:eastAsia="Times New Roman" w:hAnsi="Calibri" w:cs="Calibri"/>
          <w:color w:val="212121"/>
          <w:lang w:eastAsia="ja-JP"/>
        </w:rPr>
        <w:t>value are below</w:t>
      </w:r>
      <w:r w:rsidR="00E0242D" w:rsidRPr="00C0302B">
        <w:rPr>
          <w:rFonts w:ascii="Calibri" w:eastAsia="Times New Roman" w:hAnsi="Calibri" w:cs="Calibri"/>
          <w:color w:val="212121"/>
          <w:lang w:eastAsia="ja-JP"/>
        </w:rPr>
        <w:t>:</w:t>
      </w:r>
    </w:p>
    <w:p w:rsidR="00C76D34" w:rsidRDefault="001C68D2" w:rsidP="006E4893">
      <w:pPr>
        <w:shd w:val="clear" w:color="auto" w:fill="FFFFFF"/>
        <w:jc w:val="center"/>
        <w:rPr>
          <w:rFonts w:ascii="Calibri" w:eastAsia="Times New Roman" w:hAnsi="Calibri" w:cs="Calibri"/>
          <w:color w:val="212121"/>
          <w:lang w:eastAsia="ja-JP"/>
        </w:rPr>
      </w:pPr>
      <w:r>
        <w:rPr>
          <w:noProof/>
        </w:rPr>
        <w:drawing>
          <wp:inline distT="0" distB="0" distL="0" distR="0" wp14:anchorId="6248BA8A" wp14:editId="69DE48A3">
            <wp:extent cx="3684270" cy="2354627"/>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5170" cy="2361593"/>
                    </a:xfrm>
                    <a:prstGeom prst="rect">
                      <a:avLst/>
                    </a:prstGeom>
                  </pic:spPr>
                </pic:pic>
              </a:graphicData>
            </a:graphic>
          </wp:inline>
        </w:drawing>
      </w:r>
    </w:p>
    <w:p w:rsidR="0093096F" w:rsidRDefault="0093096F" w:rsidP="00C76D34">
      <w:pPr>
        <w:rPr>
          <w:b/>
        </w:rPr>
      </w:pPr>
    </w:p>
    <w:p w:rsidR="00C76D34" w:rsidRPr="00461E42" w:rsidRDefault="00C76D34" w:rsidP="00C76D34">
      <w:pPr>
        <w:rPr>
          <w:b/>
        </w:rPr>
      </w:pPr>
      <w:r w:rsidRPr="00461E42">
        <w:rPr>
          <w:b/>
        </w:rPr>
        <w:t xml:space="preserve">Step </w:t>
      </w:r>
      <w:r w:rsidR="009F4FC0">
        <w:rPr>
          <w:b/>
        </w:rPr>
        <w:t>4</w:t>
      </w:r>
      <w:r w:rsidRPr="00461E42">
        <w:rPr>
          <w:b/>
        </w:rPr>
        <w:t>:  Ca</w:t>
      </w:r>
      <w:r>
        <w:rPr>
          <w:b/>
        </w:rPr>
        <w:t xml:space="preserve">lculate the observed </w:t>
      </w:r>
      <w:r w:rsidRPr="004337DA">
        <w:rPr>
          <w:b/>
        </w:rPr>
        <w:t>frequency</w:t>
      </w:r>
      <w:r>
        <w:rPr>
          <w:b/>
        </w:rPr>
        <w:t xml:space="preserve"> for each time period using </w:t>
      </w:r>
      <w:r w:rsidRPr="00461E42">
        <w:rPr>
          <w:b/>
          <w:i/>
        </w:rPr>
        <w:t>post-election</w:t>
      </w:r>
      <w:r>
        <w:rPr>
          <w:b/>
        </w:rPr>
        <w:t xml:space="preserve"> data</w:t>
      </w:r>
    </w:p>
    <w:p w:rsidR="00C76D34" w:rsidRDefault="00C76D34" w:rsidP="00C76D34">
      <w:pPr>
        <w:rPr>
          <w:rFonts w:ascii="Calibri" w:hAnsi="Calibri" w:cs="Calibri"/>
          <w:color w:val="212121"/>
          <w:shd w:val="clear" w:color="auto" w:fill="FFFFFF"/>
        </w:rPr>
      </w:pPr>
      <w:r>
        <w:rPr>
          <w:rFonts w:ascii="Calibri" w:hAnsi="Calibri" w:cs="Calibri"/>
          <w:color w:val="212121"/>
          <w:shd w:val="clear" w:color="auto" w:fill="FFFFFF"/>
        </w:rPr>
        <w:t>Using the post-election data, break up the data into 10 time periods of 6 days each.  For each time period, calculate the</w:t>
      </w:r>
      <w:r>
        <w:rPr>
          <w:rStyle w:val="apple-converted-space"/>
          <w:rFonts w:ascii="Calibri" w:hAnsi="Calibri" w:cs="Calibri"/>
          <w:color w:val="212121"/>
          <w:shd w:val="clear" w:color="auto" w:fill="FFFFFF"/>
        </w:rPr>
        <w:t> </w:t>
      </w:r>
      <w:r w:rsidRPr="004337DA">
        <w:rPr>
          <w:rFonts w:ascii="Calibri" w:hAnsi="Calibri" w:cs="Calibri"/>
          <w:shd w:val="clear" w:color="auto" w:fill="FFFFFF"/>
        </w:rPr>
        <w:t>observed frequency</w:t>
      </w:r>
      <w:r w:rsidRPr="004337DA">
        <w:rPr>
          <w:rStyle w:val="apple-converted-space"/>
          <w:rFonts w:ascii="Calibri" w:hAnsi="Calibri" w:cs="Calibri"/>
          <w:shd w:val="clear" w:color="auto" w:fill="FFFFFF"/>
        </w:rPr>
        <w:t> </w:t>
      </w:r>
      <w:r>
        <w:rPr>
          <w:rFonts w:ascii="Calibri" w:hAnsi="Calibri" w:cs="Calibri"/>
          <w:color w:val="212121"/>
          <w:shd w:val="clear" w:color="auto" w:fill="FFFFFF"/>
        </w:rPr>
        <w:t>by counting the number of days the Humana stock was up in the time period divided by the total number of days in the time period (which in our case is 6).  Do this for each time period.  In Excel, you can do this using the SUM and COUNT functions.  You will do this for each of the 10 time periods and will get something like the following:</w:t>
      </w:r>
    </w:p>
    <w:p w:rsidR="00C76D34" w:rsidRDefault="00C70F3F" w:rsidP="00C76D34">
      <w:pPr>
        <w:jc w:val="center"/>
      </w:pPr>
      <w:r>
        <w:rPr>
          <w:noProof/>
        </w:rPr>
        <w:drawing>
          <wp:inline distT="0" distB="0" distL="0" distR="0" wp14:anchorId="3CFFCE9C" wp14:editId="79062D75">
            <wp:extent cx="4960620" cy="28391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0473" cy="2844746"/>
                    </a:xfrm>
                    <a:prstGeom prst="rect">
                      <a:avLst/>
                    </a:prstGeom>
                  </pic:spPr>
                </pic:pic>
              </a:graphicData>
            </a:graphic>
          </wp:inline>
        </w:drawing>
      </w:r>
    </w:p>
    <w:p w:rsidR="00DF1BA4" w:rsidRDefault="00DF1BA4" w:rsidP="00DF1BA4">
      <w:pPr>
        <w:rPr>
          <w:rFonts w:ascii="Calibri" w:hAnsi="Calibri" w:cs="Calibri"/>
          <w:color w:val="212121"/>
          <w:shd w:val="clear" w:color="auto" w:fill="FFFFFF"/>
        </w:rPr>
      </w:pPr>
      <w:r>
        <w:rPr>
          <w:rFonts w:ascii="Calibri" w:hAnsi="Calibri" w:cs="Calibri"/>
          <w:color w:val="212121"/>
          <w:shd w:val="clear" w:color="auto" w:fill="FFFFFF"/>
        </w:rPr>
        <w:t>After charting the</w:t>
      </w:r>
      <w:r w:rsidR="00051B01">
        <w:rPr>
          <w:rFonts w:ascii="Calibri" w:hAnsi="Calibri" w:cs="Calibri"/>
          <w:color w:val="212121"/>
          <w:shd w:val="clear" w:color="auto" w:fill="FFFFFF"/>
        </w:rPr>
        <w:t>se</w:t>
      </w:r>
      <w:r>
        <w:rPr>
          <w:rFonts w:ascii="Calibri" w:hAnsi="Calibri" w:cs="Calibri"/>
          <w:color w:val="212121"/>
          <w:shd w:val="clear" w:color="auto" w:fill="FFFFFF"/>
        </w:rPr>
        <w:t xml:space="preserve"> results in Excel, we get the following.  </w:t>
      </w:r>
    </w:p>
    <w:p w:rsidR="00DF1BA4" w:rsidRDefault="00C70F3F" w:rsidP="00DF1BA4">
      <w:r>
        <w:rPr>
          <w:noProof/>
        </w:rPr>
        <w:lastRenderedPageBreak/>
        <w:drawing>
          <wp:inline distT="0" distB="0" distL="0" distR="0" wp14:anchorId="41E071DA" wp14:editId="16636BA4">
            <wp:extent cx="5943600" cy="34023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402330"/>
                    </a:xfrm>
                    <a:prstGeom prst="rect">
                      <a:avLst/>
                    </a:prstGeom>
                  </pic:spPr>
                </pic:pic>
              </a:graphicData>
            </a:graphic>
          </wp:inline>
        </w:drawing>
      </w:r>
      <w:r w:rsidR="00DF1BA4">
        <w:t xml:space="preserve"> </w:t>
      </w:r>
    </w:p>
    <w:p w:rsidR="00DF1BA4" w:rsidRDefault="00051B01" w:rsidP="00DF1BA4">
      <w:pPr>
        <w:rPr>
          <w:rFonts w:ascii="Calibri" w:hAnsi="Calibri" w:cs="Calibri"/>
          <w:color w:val="212121"/>
          <w:shd w:val="clear" w:color="auto" w:fill="FFFFFF"/>
        </w:rPr>
      </w:pPr>
      <w:r>
        <w:rPr>
          <w:rFonts w:ascii="Calibri" w:hAnsi="Calibri" w:cs="Calibri"/>
          <w:color w:val="212121"/>
          <w:shd w:val="clear" w:color="auto" w:fill="FFFFFF"/>
        </w:rPr>
        <w:t>N</w:t>
      </w:r>
      <w:r w:rsidR="00DF1BA4">
        <w:rPr>
          <w:rFonts w:ascii="Calibri" w:hAnsi="Calibri" w:cs="Calibri"/>
          <w:color w:val="212121"/>
          <w:shd w:val="clear" w:color="auto" w:fill="FFFFFF"/>
        </w:rPr>
        <w:t xml:space="preserve">ote that the wide variation in stock prices has produced control limits that are wide apart.  </w:t>
      </w:r>
    </w:p>
    <w:p w:rsidR="00DF1BA4" w:rsidRDefault="00DF1BA4" w:rsidP="00DF1BA4">
      <w:pPr>
        <w:rPr>
          <w:rFonts w:ascii="Calibri" w:hAnsi="Calibri" w:cs="Calibri"/>
          <w:color w:val="212121"/>
          <w:shd w:val="clear" w:color="auto" w:fill="FFFFFF"/>
        </w:rPr>
      </w:pPr>
      <w:r>
        <w:rPr>
          <w:rFonts w:ascii="Calibri" w:hAnsi="Calibri" w:cs="Calibri"/>
          <w:color w:val="212121"/>
          <w:shd w:val="clear" w:color="auto" w:fill="FFFFFF"/>
        </w:rPr>
        <w:t>The way to interpret this chart is as follows:  The control limits show the</w:t>
      </w:r>
      <w:r w:rsidR="00B51498">
        <w:rPr>
          <w:rFonts w:ascii="Calibri" w:hAnsi="Calibri" w:cs="Calibri"/>
          <w:color w:val="212121"/>
          <w:shd w:val="clear" w:color="auto" w:fill="FFFFFF"/>
        </w:rPr>
        <w:t xml:space="preserve"> rate of Humana stock based on the</w:t>
      </w:r>
      <w:r>
        <w:rPr>
          <w:rFonts w:ascii="Calibri" w:hAnsi="Calibri" w:cs="Calibri"/>
          <w:color w:val="212121"/>
          <w:shd w:val="clear" w:color="auto" w:fill="FFFFFF"/>
        </w:rPr>
        <w:t xml:space="preserve"> pre-election situation.  None of the post-election stock changes has values exceeding or falling </w:t>
      </w:r>
      <w:r w:rsidR="00B51498">
        <w:rPr>
          <w:rFonts w:ascii="Calibri" w:hAnsi="Calibri" w:cs="Calibri"/>
          <w:color w:val="212121"/>
          <w:shd w:val="clear" w:color="auto" w:fill="FFFFFF"/>
        </w:rPr>
        <w:t xml:space="preserve">below the </w:t>
      </w:r>
      <w:r>
        <w:rPr>
          <w:rFonts w:ascii="Calibri" w:hAnsi="Calibri" w:cs="Calibri"/>
          <w:color w:val="212121"/>
          <w:shd w:val="clear" w:color="auto" w:fill="FFFFFF"/>
        </w:rPr>
        <w:t xml:space="preserve">pre-election control limits. Upon looking at the data, it appears as though the election results did not impact </w:t>
      </w:r>
      <w:r w:rsidR="00A04D59">
        <w:rPr>
          <w:rFonts w:ascii="Calibri" w:hAnsi="Calibri" w:cs="Calibri"/>
          <w:color w:val="212121"/>
          <w:shd w:val="clear" w:color="auto" w:fill="FFFFFF"/>
        </w:rPr>
        <w:t xml:space="preserve">the </w:t>
      </w:r>
      <w:r>
        <w:rPr>
          <w:rFonts w:ascii="Calibri" w:hAnsi="Calibri" w:cs="Calibri"/>
          <w:color w:val="212121"/>
          <w:shd w:val="clear" w:color="auto" w:fill="FFFFFF"/>
        </w:rPr>
        <w:t>Humana stock.</w:t>
      </w:r>
    </w:p>
    <w:p w:rsidR="00DF1BA4" w:rsidRPr="000A0973" w:rsidRDefault="00E0242D" w:rsidP="00DF1BA4">
      <w:pPr>
        <w:shd w:val="clear" w:color="auto" w:fill="FFFFFF"/>
        <w:rPr>
          <w:rFonts w:ascii="Segoe UI" w:eastAsia="Times New Roman" w:hAnsi="Segoe UI" w:cs="Segoe UI"/>
          <w:color w:val="212121"/>
          <w:sz w:val="23"/>
          <w:szCs w:val="23"/>
          <w:lang w:eastAsia="ja-JP"/>
        </w:rPr>
      </w:pPr>
      <w:r>
        <w:rPr>
          <w:rFonts w:ascii="Calibri" w:eastAsia="Times New Roman" w:hAnsi="Calibri" w:cs="Calibri"/>
          <w:color w:val="212121"/>
          <w:lang w:eastAsia="ja-JP"/>
        </w:rPr>
        <w:t>However</w:t>
      </w:r>
      <w:r w:rsidR="00DF1BA4" w:rsidRPr="000A0973">
        <w:rPr>
          <w:rFonts w:ascii="Calibri" w:eastAsia="Times New Roman" w:hAnsi="Calibri" w:cs="Calibri"/>
          <w:color w:val="212121"/>
          <w:lang w:eastAsia="ja-JP"/>
        </w:rPr>
        <w:t xml:space="preserve"> as previously</w:t>
      </w:r>
      <w:r w:rsidR="00DF1BA4">
        <w:rPr>
          <w:rFonts w:ascii="Calibri" w:eastAsia="Times New Roman" w:hAnsi="Calibri" w:cs="Calibri"/>
          <w:color w:val="212121"/>
          <w:lang w:eastAsia="ja-JP"/>
        </w:rPr>
        <w:t xml:space="preserve"> mentioned</w:t>
      </w:r>
      <w:r w:rsidR="00DF1BA4" w:rsidRPr="000A0973">
        <w:rPr>
          <w:rFonts w:ascii="Calibri" w:eastAsia="Times New Roman" w:hAnsi="Calibri" w:cs="Calibri"/>
          <w:color w:val="212121"/>
          <w:lang w:eastAsia="ja-JP"/>
        </w:rPr>
        <w:t>, our calculations may have been impacted by confounding variables or alternative explanations.  In other words, did the effects of the general economy and/or the healthcare industry affect our results?  If so, we want to remove these effects and </w:t>
      </w:r>
      <w:r w:rsidR="00DF1BA4" w:rsidRPr="000A0973">
        <w:rPr>
          <w:rFonts w:ascii="Calibri" w:eastAsia="Times New Roman" w:hAnsi="Calibri" w:cs="Calibri"/>
          <w:b/>
          <w:bCs/>
          <w:color w:val="212121"/>
          <w:lang w:eastAsia="ja-JP"/>
        </w:rPr>
        <w:t>ONLY</w:t>
      </w:r>
      <w:r w:rsidR="00DF1BA4" w:rsidRPr="000A0973">
        <w:rPr>
          <w:rFonts w:ascii="Calibri" w:eastAsia="Times New Roman" w:hAnsi="Calibri" w:cs="Calibri"/>
          <w:color w:val="212121"/>
          <w:lang w:eastAsia="ja-JP"/>
        </w:rPr>
        <w:t> consider the impact the election had on the Humana stock.</w:t>
      </w:r>
    </w:p>
    <w:p w:rsidR="00DF1BA4" w:rsidRPr="000A0973" w:rsidRDefault="00DF1BA4" w:rsidP="00DF1BA4">
      <w:pPr>
        <w:shd w:val="clear" w:color="auto" w:fill="FFFFFF"/>
        <w:rPr>
          <w:rFonts w:ascii="Segoe UI" w:eastAsia="Times New Roman" w:hAnsi="Segoe UI" w:cs="Segoe UI"/>
          <w:color w:val="212121"/>
          <w:sz w:val="23"/>
          <w:szCs w:val="23"/>
          <w:lang w:eastAsia="ja-JP"/>
        </w:rPr>
      </w:pPr>
      <w:r w:rsidRPr="000A0973">
        <w:rPr>
          <w:rFonts w:ascii="Calibri" w:eastAsia="Times New Roman" w:hAnsi="Calibri" w:cs="Calibri"/>
          <w:color w:val="212121"/>
          <w:lang w:eastAsia="ja-JP"/>
        </w:rPr>
        <w:t xml:space="preserve">In order to remove the effects of the confounding variables, we have to make a few modifications to calculate the </w:t>
      </w:r>
      <w:r w:rsidRPr="00E0242D">
        <w:rPr>
          <w:rFonts w:ascii="Calibri" w:eastAsia="Times New Roman" w:hAnsi="Calibri" w:cs="Calibri"/>
          <w:b/>
          <w:color w:val="212121"/>
          <w:lang w:eastAsia="ja-JP"/>
        </w:rPr>
        <w:t>P-Average</w:t>
      </w:r>
      <w:r w:rsidRPr="000A0973">
        <w:rPr>
          <w:rFonts w:ascii="Calibri" w:eastAsia="Times New Roman" w:hAnsi="Calibri" w:cs="Calibri"/>
          <w:color w:val="212121"/>
          <w:lang w:eastAsia="ja-JP"/>
        </w:rPr>
        <w:t xml:space="preserve">.  This primarily involves </w:t>
      </w:r>
      <w:r w:rsidR="00E0242D">
        <w:rPr>
          <w:rFonts w:ascii="Calibri" w:eastAsia="Times New Roman" w:hAnsi="Calibri" w:cs="Calibri"/>
          <w:color w:val="212121"/>
          <w:lang w:eastAsia="ja-JP"/>
        </w:rPr>
        <w:t xml:space="preserve">us </w:t>
      </w:r>
      <w:r w:rsidRPr="000A0973">
        <w:rPr>
          <w:rFonts w:ascii="Calibri" w:eastAsia="Times New Roman" w:hAnsi="Calibri" w:cs="Calibri"/>
          <w:color w:val="212121"/>
          <w:lang w:eastAsia="ja-JP"/>
        </w:rPr>
        <w:t>using adjusted frequencies as opposed to unadjusted frequencies. This will be explained in the following few steps.</w:t>
      </w:r>
    </w:p>
    <w:p w:rsidR="00B04567" w:rsidRDefault="00B04567" w:rsidP="00F478C1"/>
    <w:p w:rsidR="00D864FE" w:rsidRDefault="00D864FE">
      <w:pPr>
        <w:rPr>
          <w:b/>
        </w:rPr>
      </w:pPr>
      <w:r>
        <w:rPr>
          <w:b/>
        </w:rPr>
        <w:t xml:space="preserve">Step </w:t>
      </w:r>
      <w:r w:rsidR="00D53F7A">
        <w:rPr>
          <w:b/>
        </w:rPr>
        <w:t>5</w:t>
      </w:r>
      <w:r>
        <w:rPr>
          <w:b/>
        </w:rPr>
        <w:t xml:space="preserve">: Calculate </w:t>
      </w:r>
      <w:r w:rsidR="006B1E28">
        <w:rPr>
          <w:b/>
        </w:rPr>
        <w:t>the</w:t>
      </w:r>
      <w:r w:rsidR="007E5F07">
        <w:rPr>
          <w:b/>
        </w:rPr>
        <w:t xml:space="preserve"> adjusted P-Averages using the</w:t>
      </w:r>
      <w:r w:rsidR="006B1E28">
        <w:rPr>
          <w:b/>
        </w:rPr>
        <w:t xml:space="preserve"> </w:t>
      </w:r>
      <w:r w:rsidR="00E9033C">
        <w:rPr>
          <w:b/>
        </w:rPr>
        <w:t xml:space="preserve">adjusted </w:t>
      </w:r>
      <w:r>
        <w:rPr>
          <w:b/>
        </w:rPr>
        <w:t xml:space="preserve">frequencies </w:t>
      </w:r>
      <w:r w:rsidR="00E9033C">
        <w:rPr>
          <w:b/>
        </w:rPr>
        <w:t xml:space="preserve">for the strata within each time period </w:t>
      </w:r>
      <w:r w:rsidR="007E5F07">
        <w:rPr>
          <w:b/>
        </w:rPr>
        <w:t xml:space="preserve">with </w:t>
      </w:r>
      <w:r>
        <w:rPr>
          <w:b/>
        </w:rPr>
        <w:t>the post-election (cases) data</w:t>
      </w:r>
    </w:p>
    <w:p w:rsidR="00642BC4" w:rsidRDefault="000A0973" w:rsidP="00D864FE">
      <w:r w:rsidRPr="000A0973">
        <w:t xml:space="preserve">In </w:t>
      </w:r>
      <w:r w:rsidRPr="009F4FC0">
        <w:rPr>
          <w:i/>
        </w:rPr>
        <w:t xml:space="preserve">step </w:t>
      </w:r>
      <w:r w:rsidR="009F4FC0" w:rsidRPr="009F4FC0">
        <w:rPr>
          <w:i/>
        </w:rPr>
        <w:t>3</w:t>
      </w:r>
      <w:r w:rsidRPr="000A0973">
        <w:t xml:space="preserve">, we calculated the unadjusted frequency for each of the four strata as the number of days each combination occurred within the entire pre-election period divided by the total number of days in the pre-election period. We will do something similar to calculate the adjusted frequencies, but we will use post-election data instead of pre-election data.  Additionally, we will calculate a </w:t>
      </w:r>
      <w:r w:rsidR="00687403">
        <w:t>P-</w:t>
      </w:r>
      <w:r w:rsidR="00F277E3">
        <w:t>A</w:t>
      </w:r>
      <w:r w:rsidR="00687403">
        <w:t>verage</w:t>
      </w:r>
      <w:r w:rsidRPr="000A0973">
        <w:t xml:space="preserve"> for each of our 10 time periods, as opposed to calculating one frequency for the entire post-election time period.  </w:t>
      </w:r>
    </w:p>
    <w:p w:rsidR="000A0973" w:rsidRDefault="000A0973" w:rsidP="00D864FE">
      <w:r w:rsidRPr="000A0973">
        <w:lastRenderedPageBreak/>
        <w:t>This slide shows the frequencies (in yellow) for each</w:t>
      </w:r>
      <w:r>
        <w:t xml:space="preserve"> time period in the post-</w:t>
      </w:r>
      <w:r w:rsidRPr="000A0973">
        <w:t>election periods.  Again, you can do</w:t>
      </w:r>
      <w:r w:rsidR="00642BC4">
        <w:t xml:space="preserve"> this using Excel’s SUMPRODUCT</w:t>
      </w:r>
      <w:r w:rsidRPr="000A0973">
        <w:t xml:space="preserve"> function.  The SUMPRODUCT function counts the number of times Nasd</w:t>
      </w:r>
      <w:r>
        <w:t>a</w:t>
      </w:r>
      <w:r w:rsidRPr="000A0973">
        <w:t>q and S&amp;P were both up, neither up</w:t>
      </w:r>
      <w:r>
        <w:t>,</w:t>
      </w:r>
      <w:r w:rsidRPr="000A0973">
        <w:t xml:space="preserve"> or one of them up and the other down. </w:t>
      </w:r>
    </w:p>
    <w:p w:rsidR="00767AAB" w:rsidRDefault="00767AAB" w:rsidP="00D864FE">
      <w:r>
        <w:rPr>
          <w:noProof/>
        </w:rPr>
        <w:drawing>
          <wp:inline distT="0" distB="0" distL="0" distR="0" wp14:anchorId="43C0DAB4" wp14:editId="5892F2F2">
            <wp:extent cx="5943600" cy="15246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24635"/>
                    </a:xfrm>
                    <a:prstGeom prst="rect">
                      <a:avLst/>
                    </a:prstGeom>
                  </pic:spPr>
                </pic:pic>
              </a:graphicData>
            </a:graphic>
          </wp:inline>
        </w:drawing>
      </w:r>
    </w:p>
    <w:p w:rsidR="000A0973" w:rsidRDefault="000A0973" w:rsidP="000A0973">
      <w:pPr>
        <w:shd w:val="clear" w:color="auto" w:fill="FFFFFF"/>
        <w:rPr>
          <w:rFonts w:ascii="Segoe UI" w:hAnsi="Segoe UI" w:cs="Segoe UI"/>
          <w:color w:val="212121"/>
          <w:sz w:val="23"/>
          <w:szCs w:val="23"/>
        </w:rPr>
      </w:pPr>
      <w:r>
        <w:rPr>
          <w:rFonts w:ascii="Calibri" w:hAnsi="Calibri" w:cs="Calibri"/>
          <w:color w:val="212121"/>
        </w:rPr>
        <w:t xml:space="preserve">We want to simulate the situation where each strata occurs equally in the pre-election as in the post-election time periods.   In order to ensure that the rate of each strata in the controls is the same as the cases, we will replace the frequency of these alternative explanations among the pre-election controls with the calculated frequency for each time period in the cases.  In this step, we are making sure that we simulate a set of controls which have the same distribution of these two stocks as </w:t>
      </w:r>
      <w:r w:rsidR="009B49D9">
        <w:rPr>
          <w:rFonts w:ascii="Calibri" w:hAnsi="Calibri" w:cs="Calibri"/>
          <w:color w:val="212121"/>
        </w:rPr>
        <w:t>each</w:t>
      </w:r>
      <w:r>
        <w:rPr>
          <w:rFonts w:ascii="Calibri" w:hAnsi="Calibri" w:cs="Calibri"/>
          <w:color w:val="212121"/>
        </w:rPr>
        <w:t xml:space="preserve"> time period in the case</w:t>
      </w:r>
      <w:r w:rsidR="009B49D9">
        <w:rPr>
          <w:rFonts w:ascii="Calibri" w:hAnsi="Calibri" w:cs="Calibri"/>
          <w:color w:val="212121"/>
        </w:rPr>
        <w:t>s</w:t>
      </w:r>
      <w:r>
        <w:rPr>
          <w:rFonts w:ascii="Calibri" w:hAnsi="Calibri" w:cs="Calibri"/>
          <w:color w:val="212121"/>
        </w:rPr>
        <w:t>. </w:t>
      </w:r>
    </w:p>
    <w:p w:rsidR="000A0973" w:rsidRDefault="000A0973" w:rsidP="000A0973">
      <w:pPr>
        <w:shd w:val="clear" w:color="auto" w:fill="FFFFFF"/>
        <w:rPr>
          <w:rFonts w:ascii="Calibri" w:hAnsi="Calibri" w:cs="Calibri"/>
          <w:color w:val="212121"/>
        </w:rPr>
      </w:pPr>
      <w:r>
        <w:rPr>
          <w:rFonts w:ascii="Calibri" w:hAnsi="Calibri" w:cs="Calibri"/>
          <w:color w:val="212121"/>
        </w:rPr>
        <w:t>Now we can calculate the adjusted rate of Humana stock going up.  We weigh the rate with which Humana stock goes up in the controls within each strata by the new set of frequencies</w:t>
      </w:r>
      <w:r w:rsidR="00C01687">
        <w:rPr>
          <w:rFonts w:ascii="Calibri" w:hAnsi="Calibri" w:cs="Calibri"/>
          <w:color w:val="212121"/>
        </w:rPr>
        <w:t xml:space="preserve"> and will</w:t>
      </w:r>
      <w:r>
        <w:rPr>
          <w:rFonts w:ascii="Calibri" w:hAnsi="Calibri" w:cs="Calibri"/>
          <w:color w:val="212121"/>
        </w:rPr>
        <w:t xml:space="preserve"> call this</w:t>
      </w:r>
      <w:r w:rsidR="00EB31D6">
        <w:rPr>
          <w:rFonts w:ascii="Calibri" w:hAnsi="Calibri" w:cs="Calibri"/>
          <w:color w:val="212121"/>
        </w:rPr>
        <w:t xml:space="preserve"> the</w:t>
      </w:r>
      <w:r>
        <w:rPr>
          <w:rFonts w:ascii="Calibri" w:hAnsi="Calibri" w:cs="Calibri"/>
          <w:color w:val="212121"/>
        </w:rPr>
        <w:t xml:space="preserve"> </w:t>
      </w:r>
      <w:r w:rsidRPr="002877E1">
        <w:rPr>
          <w:rFonts w:ascii="Calibri" w:hAnsi="Calibri" w:cs="Calibri"/>
          <w:i/>
          <w:color w:val="212121"/>
        </w:rPr>
        <w:t>adjusted P-Averages</w:t>
      </w:r>
      <w:r w:rsidR="002877E1">
        <w:rPr>
          <w:rFonts w:ascii="Calibri" w:hAnsi="Calibri" w:cs="Calibri"/>
          <w:color w:val="212121"/>
        </w:rPr>
        <w:t>.  The adjusted P</w:t>
      </w:r>
      <w:r>
        <w:rPr>
          <w:rFonts w:ascii="Calibri" w:hAnsi="Calibri" w:cs="Calibri"/>
          <w:color w:val="212121"/>
        </w:rPr>
        <w:t>-</w:t>
      </w:r>
      <w:r w:rsidR="002877E1">
        <w:rPr>
          <w:rFonts w:ascii="Calibri" w:hAnsi="Calibri" w:cs="Calibri"/>
          <w:color w:val="212121"/>
        </w:rPr>
        <w:t>A</w:t>
      </w:r>
      <w:r>
        <w:rPr>
          <w:rFonts w:ascii="Calibri" w:hAnsi="Calibri" w:cs="Calibri"/>
          <w:color w:val="212121"/>
        </w:rPr>
        <w:t xml:space="preserve">verage shows the probability of </w:t>
      </w:r>
      <w:r w:rsidR="002877E1">
        <w:rPr>
          <w:rFonts w:ascii="Calibri" w:hAnsi="Calibri" w:cs="Calibri"/>
          <w:color w:val="212121"/>
        </w:rPr>
        <w:t>H</w:t>
      </w:r>
      <w:r>
        <w:rPr>
          <w:rFonts w:ascii="Calibri" w:hAnsi="Calibri" w:cs="Calibri"/>
          <w:color w:val="212121"/>
        </w:rPr>
        <w:t>umana stock rising in the pre-election time period if it had the same frequency of occurrences of Nasd</w:t>
      </w:r>
      <w:r w:rsidR="002877E1">
        <w:rPr>
          <w:rFonts w:ascii="Calibri" w:hAnsi="Calibri" w:cs="Calibri"/>
          <w:color w:val="212121"/>
        </w:rPr>
        <w:t>a</w:t>
      </w:r>
      <w:r>
        <w:rPr>
          <w:rFonts w:ascii="Calibri" w:hAnsi="Calibri" w:cs="Calibri"/>
          <w:color w:val="212121"/>
        </w:rPr>
        <w:t>q and S&amp;P. </w:t>
      </w:r>
    </w:p>
    <w:p w:rsidR="00F60232" w:rsidRDefault="00061308" w:rsidP="00F60232">
      <w:pPr>
        <w:shd w:val="clear" w:color="auto" w:fill="FFFFFF"/>
      </w:pPr>
      <w:r>
        <w:rPr>
          <w:noProof/>
        </w:rPr>
        <w:drawing>
          <wp:inline distT="0" distB="0" distL="0" distR="0" wp14:anchorId="78997734" wp14:editId="720BB18D">
            <wp:extent cx="5943600" cy="1162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162050"/>
                    </a:xfrm>
                    <a:prstGeom prst="rect">
                      <a:avLst/>
                    </a:prstGeom>
                  </pic:spPr>
                </pic:pic>
              </a:graphicData>
            </a:graphic>
          </wp:inline>
        </w:drawing>
      </w:r>
    </w:p>
    <w:p w:rsidR="00F60232" w:rsidRDefault="00F60232" w:rsidP="00F60232">
      <w:pPr>
        <w:shd w:val="clear" w:color="auto" w:fill="FFFFFF"/>
      </w:pPr>
      <w:r>
        <w:rPr>
          <w:rFonts w:ascii="Calibri" w:hAnsi="Calibri" w:cs="Calibri"/>
          <w:color w:val="212121"/>
          <w:shd w:val="clear" w:color="auto" w:fill="FFFFFF"/>
        </w:rPr>
        <w:t xml:space="preserve">The adjusted P-Average can now be used to calculate </w:t>
      </w:r>
      <w:r w:rsidR="00AB0F5A">
        <w:rPr>
          <w:rFonts w:ascii="Calibri" w:hAnsi="Calibri" w:cs="Calibri"/>
          <w:color w:val="212121"/>
          <w:shd w:val="clear" w:color="auto" w:fill="FFFFFF"/>
        </w:rPr>
        <w:t xml:space="preserve">the </w:t>
      </w:r>
      <w:r>
        <w:rPr>
          <w:rFonts w:ascii="Calibri" w:hAnsi="Calibri" w:cs="Calibri"/>
          <w:color w:val="212121"/>
          <w:shd w:val="clear" w:color="auto" w:fill="FFFFFF"/>
        </w:rPr>
        <w:t>LCL and UCL</w:t>
      </w:r>
      <w:r w:rsidR="00AB0F5A">
        <w:rPr>
          <w:rFonts w:ascii="Calibri" w:hAnsi="Calibri" w:cs="Calibri"/>
          <w:color w:val="212121"/>
          <w:shd w:val="clear" w:color="auto" w:fill="FFFFFF"/>
        </w:rPr>
        <w:t xml:space="preserve"> and</w:t>
      </w:r>
      <w:r>
        <w:rPr>
          <w:rFonts w:ascii="Calibri" w:hAnsi="Calibri" w:cs="Calibri"/>
          <w:color w:val="212121"/>
          <w:shd w:val="clear" w:color="auto" w:fill="FFFFFF"/>
        </w:rPr>
        <w:t xml:space="preserve"> get the following results:</w:t>
      </w:r>
      <w:r>
        <w:rPr>
          <w:noProof/>
          <w:lang w:eastAsia="ja-JP"/>
        </w:rPr>
        <w:t xml:space="preserve"> </w:t>
      </w:r>
    </w:p>
    <w:p w:rsidR="00061308" w:rsidRDefault="00687403" w:rsidP="00687403">
      <w:pPr>
        <w:jc w:val="center"/>
      </w:pPr>
      <w:r>
        <w:rPr>
          <w:noProof/>
        </w:rPr>
        <w:lastRenderedPageBreak/>
        <w:drawing>
          <wp:inline distT="0" distB="0" distL="0" distR="0" wp14:anchorId="2CD399AA" wp14:editId="2D159C2D">
            <wp:extent cx="4183380" cy="2201638"/>
            <wp:effectExtent l="0" t="0" r="762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94052" cy="2207254"/>
                    </a:xfrm>
                    <a:prstGeom prst="rect">
                      <a:avLst/>
                    </a:prstGeom>
                  </pic:spPr>
                </pic:pic>
              </a:graphicData>
            </a:graphic>
          </wp:inline>
        </w:drawing>
      </w:r>
    </w:p>
    <w:p w:rsidR="00427FEC" w:rsidRDefault="00427FEC">
      <w:pPr>
        <w:rPr>
          <w:noProof/>
          <w:lang w:eastAsia="ja-JP"/>
        </w:rPr>
      </w:pPr>
      <w:r>
        <w:rPr>
          <w:rFonts w:ascii="Calibri" w:hAnsi="Calibri" w:cs="Calibri"/>
          <w:color w:val="212121"/>
          <w:shd w:val="clear" w:color="auto" w:fill="FFFFFF"/>
        </w:rPr>
        <w:t>Once we plot the values above, we get the following chart:</w:t>
      </w:r>
      <w:r>
        <w:rPr>
          <w:noProof/>
          <w:lang w:eastAsia="ja-JP"/>
        </w:rPr>
        <w:t xml:space="preserve"> </w:t>
      </w:r>
    </w:p>
    <w:p w:rsidR="00061308" w:rsidRDefault="000140B4">
      <w:r>
        <w:rPr>
          <w:noProof/>
        </w:rPr>
        <w:drawing>
          <wp:inline distT="0" distB="0" distL="0" distR="0" wp14:anchorId="5E936826" wp14:editId="1832368A">
            <wp:extent cx="5943600" cy="36652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665220"/>
                    </a:xfrm>
                    <a:prstGeom prst="rect">
                      <a:avLst/>
                    </a:prstGeom>
                  </pic:spPr>
                </pic:pic>
              </a:graphicData>
            </a:graphic>
          </wp:inline>
        </w:drawing>
      </w:r>
    </w:p>
    <w:p w:rsidR="00DE52CF" w:rsidRDefault="00824F3B" w:rsidP="00824F3B">
      <w:r>
        <w:rPr>
          <w:rFonts w:ascii="Calibri" w:hAnsi="Calibri" w:cs="Calibri"/>
          <w:color w:val="212121"/>
          <w:shd w:val="clear" w:color="auto" w:fill="FFFFFF"/>
        </w:rPr>
        <w:t>By calculating our P-Averages with the adjusted frequencies, our modified LCL and UCL values remove the effects of the confounding variables.  Our results show us a much different picture than our previous chart. Our new analysis shows us that the 2016 Presidential election did have an effect on Humana stock,</w:t>
      </w:r>
      <w:r>
        <w:rPr>
          <w:rStyle w:val="apple-converted-space"/>
          <w:rFonts w:ascii="Calibri" w:hAnsi="Calibri" w:cs="Calibri"/>
          <w:color w:val="212121"/>
          <w:shd w:val="clear" w:color="auto" w:fill="FFFFFF"/>
        </w:rPr>
        <w:t> </w:t>
      </w:r>
      <w:r>
        <w:rPr>
          <w:rFonts w:ascii="Calibri" w:hAnsi="Calibri" w:cs="Calibri"/>
          <w:color w:val="212121"/>
          <w:shd w:val="clear" w:color="auto" w:fill="FFFFFF"/>
        </w:rPr>
        <w:t xml:space="preserve">once the effect of alternative explanations </w:t>
      </w:r>
      <w:r w:rsidR="0010136A">
        <w:rPr>
          <w:rFonts w:ascii="Calibri" w:hAnsi="Calibri" w:cs="Calibri"/>
          <w:color w:val="212121"/>
          <w:shd w:val="clear" w:color="auto" w:fill="FFFFFF"/>
        </w:rPr>
        <w:t>were</w:t>
      </w:r>
      <w:r>
        <w:rPr>
          <w:rFonts w:ascii="Calibri" w:hAnsi="Calibri" w:cs="Calibri"/>
          <w:color w:val="212121"/>
          <w:shd w:val="clear" w:color="auto" w:fill="FFFFFF"/>
        </w:rPr>
        <w:t xml:space="preserve"> removed.  Also note that because we removed the effect of the general economy and health industry, the variation in the stock was reduced and the control limits are closer to each other.  This has allowed us to detect the effect of </w:t>
      </w:r>
      <w:r w:rsidR="0010136A">
        <w:rPr>
          <w:rFonts w:ascii="Calibri" w:hAnsi="Calibri" w:cs="Calibri"/>
          <w:color w:val="212121"/>
          <w:shd w:val="clear" w:color="auto" w:fill="FFFFFF"/>
        </w:rPr>
        <w:t xml:space="preserve">the </w:t>
      </w:r>
      <w:r>
        <w:rPr>
          <w:rFonts w:ascii="Calibri" w:hAnsi="Calibri" w:cs="Calibri"/>
          <w:color w:val="212121"/>
          <w:shd w:val="clear" w:color="auto" w:fill="FFFFFF"/>
        </w:rPr>
        <w:t xml:space="preserve">election which was previously confounded with these alternative </w:t>
      </w:r>
      <w:r w:rsidR="0010136A">
        <w:rPr>
          <w:rFonts w:ascii="Calibri" w:hAnsi="Calibri" w:cs="Calibri"/>
          <w:color w:val="212121"/>
          <w:shd w:val="clear" w:color="auto" w:fill="FFFFFF"/>
        </w:rPr>
        <w:t>explanations</w:t>
      </w:r>
      <w:r>
        <w:rPr>
          <w:rFonts w:ascii="Calibri" w:hAnsi="Calibri" w:cs="Calibri"/>
          <w:color w:val="212121"/>
          <w:shd w:val="clear" w:color="auto" w:fill="FFFFFF"/>
        </w:rPr>
        <w:t>. </w:t>
      </w:r>
    </w:p>
    <w:sectPr w:rsidR="00DE52CF">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093" w:rsidRDefault="00742093" w:rsidP="00DD17A5">
      <w:pPr>
        <w:spacing w:after="0" w:line="240" w:lineRule="auto"/>
      </w:pPr>
      <w:r>
        <w:separator/>
      </w:r>
    </w:p>
  </w:endnote>
  <w:endnote w:type="continuationSeparator" w:id="0">
    <w:p w:rsidR="00742093" w:rsidRDefault="00742093" w:rsidP="00DD1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69391"/>
      <w:docPartObj>
        <w:docPartGallery w:val="Page Numbers (Bottom of Page)"/>
        <w:docPartUnique/>
      </w:docPartObj>
    </w:sdtPr>
    <w:sdtEndPr>
      <w:rPr>
        <w:noProof/>
      </w:rPr>
    </w:sdtEndPr>
    <w:sdtContent>
      <w:p w:rsidR="0093096F" w:rsidRDefault="0093096F">
        <w:pPr>
          <w:pStyle w:val="Footer"/>
          <w:jc w:val="center"/>
        </w:pPr>
        <w:r>
          <w:fldChar w:fldCharType="begin"/>
        </w:r>
        <w:r>
          <w:instrText xml:space="preserve"> PAGE   \* MERGEFORMAT </w:instrText>
        </w:r>
        <w:r>
          <w:fldChar w:fldCharType="separate"/>
        </w:r>
        <w:r w:rsidR="00023F38">
          <w:rPr>
            <w:noProof/>
          </w:rPr>
          <w:t>1</w:t>
        </w:r>
        <w:r>
          <w:rPr>
            <w:noProof/>
          </w:rPr>
          <w:fldChar w:fldCharType="end"/>
        </w:r>
      </w:p>
    </w:sdtContent>
  </w:sdt>
  <w:p w:rsidR="0093096F" w:rsidRDefault="0093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093" w:rsidRDefault="00742093" w:rsidP="00DD17A5">
      <w:pPr>
        <w:spacing w:after="0" w:line="240" w:lineRule="auto"/>
      </w:pPr>
      <w:r>
        <w:separator/>
      </w:r>
    </w:p>
  </w:footnote>
  <w:footnote w:type="continuationSeparator" w:id="0">
    <w:p w:rsidR="00742093" w:rsidRDefault="00742093" w:rsidP="00DD1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D9"/>
    <w:multiLevelType w:val="hybridMultilevel"/>
    <w:tmpl w:val="FC26076A"/>
    <w:lvl w:ilvl="0" w:tplc="1EFC0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400C0"/>
    <w:multiLevelType w:val="hybridMultilevel"/>
    <w:tmpl w:val="320C746E"/>
    <w:lvl w:ilvl="0" w:tplc="C7081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E94"/>
    <w:rsid w:val="00007188"/>
    <w:rsid w:val="000140B4"/>
    <w:rsid w:val="000154E0"/>
    <w:rsid w:val="00023F38"/>
    <w:rsid w:val="00051B01"/>
    <w:rsid w:val="00061308"/>
    <w:rsid w:val="000A0973"/>
    <w:rsid w:val="0010136A"/>
    <w:rsid w:val="00121A8F"/>
    <w:rsid w:val="001245EF"/>
    <w:rsid w:val="00165429"/>
    <w:rsid w:val="00166AE1"/>
    <w:rsid w:val="00193523"/>
    <w:rsid w:val="001A2E94"/>
    <w:rsid w:val="001C68D2"/>
    <w:rsid w:val="001D5ADE"/>
    <w:rsid w:val="001F36FC"/>
    <w:rsid w:val="001F4605"/>
    <w:rsid w:val="00201C22"/>
    <w:rsid w:val="00204484"/>
    <w:rsid w:val="0021299E"/>
    <w:rsid w:val="002441D7"/>
    <w:rsid w:val="00257DE9"/>
    <w:rsid w:val="0026223F"/>
    <w:rsid w:val="00276102"/>
    <w:rsid w:val="002877E1"/>
    <w:rsid w:val="002A5FB2"/>
    <w:rsid w:val="002D069C"/>
    <w:rsid w:val="00360CF2"/>
    <w:rsid w:val="0036541D"/>
    <w:rsid w:val="003B750F"/>
    <w:rsid w:val="003F1492"/>
    <w:rsid w:val="00403CC0"/>
    <w:rsid w:val="00404611"/>
    <w:rsid w:val="004151BD"/>
    <w:rsid w:val="00427FEC"/>
    <w:rsid w:val="00432B58"/>
    <w:rsid w:val="004337DA"/>
    <w:rsid w:val="00433CFC"/>
    <w:rsid w:val="0045410D"/>
    <w:rsid w:val="00461E42"/>
    <w:rsid w:val="004A192A"/>
    <w:rsid w:val="004F0211"/>
    <w:rsid w:val="00513B15"/>
    <w:rsid w:val="005215CD"/>
    <w:rsid w:val="00535F68"/>
    <w:rsid w:val="00567CC0"/>
    <w:rsid w:val="005770AD"/>
    <w:rsid w:val="005B12B3"/>
    <w:rsid w:val="005D173B"/>
    <w:rsid w:val="005E3CE4"/>
    <w:rsid w:val="006245CE"/>
    <w:rsid w:val="006273CF"/>
    <w:rsid w:val="00642BC4"/>
    <w:rsid w:val="00662D0B"/>
    <w:rsid w:val="00687403"/>
    <w:rsid w:val="00691D63"/>
    <w:rsid w:val="006B1E28"/>
    <w:rsid w:val="006B498F"/>
    <w:rsid w:val="006E4893"/>
    <w:rsid w:val="007328F7"/>
    <w:rsid w:val="00742093"/>
    <w:rsid w:val="0076515B"/>
    <w:rsid w:val="00767AAB"/>
    <w:rsid w:val="0077045A"/>
    <w:rsid w:val="007E5F07"/>
    <w:rsid w:val="00824F3B"/>
    <w:rsid w:val="00876308"/>
    <w:rsid w:val="008C48DA"/>
    <w:rsid w:val="0092533E"/>
    <w:rsid w:val="0093096F"/>
    <w:rsid w:val="009421C7"/>
    <w:rsid w:val="00950822"/>
    <w:rsid w:val="0095161D"/>
    <w:rsid w:val="00952988"/>
    <w:rsid w:val="00957EB5"/>
    <w:rsid w:val="009770D0"/>
    <w:rsid w:val="0098258E"/>
    <w:rsid w:val="00984A52"/>
    <w:rsid w:val="009B49D9"/>
    <w:rsid w:val="009D24F5"/>
    <w:rsid w:val="009F4FC0"/>
    <w:rsid w:val="00A03890"/>
    <w:rsid w:val="00A04D59"/>
    <w:rsid w:val="00A117F3"/>
    <w:rsid w:val="00A57BCB"/>
    <w:rsid w:val="00A74417"/>
    <w:rsid w:val="00AA5F0A"/>
    <w:rsid w:val="00AB0F5A"/>
    <w:rsid w:val="00B04567"/>
    <w:rsid w:val="00B25745"/>
    <w:rsid w:val="00B51498"/>
    <w:rsid w:val="00B56205"/>
    <w:rsid w:val="00B76421"/>
    <w:rsid w:val="00B9165D"/>
    <w:rsid w:val="00B9451B"/>
    <w:rsid w:val="00BC17E4"/>
    <w:rsid w:val="00BE0BF5"/>
    <w:rsid w:val="00BF62CF"/>
    <w:rsid w:val="00C01687"/>
    <w:rsid w:val="00C0302B"/>
    <w:rsid w:val="00C03570"/>
    <w:rsid w:val="00C457B1"/>
    <w:rsid w:val="00C70F3F"/>
    <w:rsid w:val="00C76D34"/>
    <w:rsid w:val="00CD1C66"/>
    <w:rsid w:val="00CE72AB"/>
    <w:rsid w:val="00D041C7"/>
    <w:rsid w:val="00D523DF"/>
    <w:rsid w:val="00D53F7A"/>
    <w:rsid w:val="00D864FE"/>
    <w:rsid w:val="00DD17A5"/>
    <w:rsid w:val="00DD2CAA"/>
    <w:rsid w:val="00DD3B93"/>
    <w:rsid w:val="00DE2C28"/>
    <w:rsid w:val="00DE52CF"/>
    <w:rsid w:val="00DF1BA4"/>
    <w:rsid w:val="00E0242D"/>
    <w:rsid w:val="00E500B0"/>
    <w:rsid w:val="00E9033C"/>
    <w:rsid w:val="00EB31D6"/>
    <w:rsid w:val="00EF6A1D"/>
    <w:rsid w:val="00F277E3"/>
    <w:rsid w:val="00F478C1"/>
    <w:rsid w:val="00F60232"/>
    <w:rsid w:val="00FD207A"/>
    <w:rsid w:val="00FD61C4"/>
    <w:rsid w:val="00FE1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557D7-0417-4C42-A0CD-26D3AB451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E94"/>
    <w:rPr>
      <w:rFonts w:ascii="Tahoma" w:hAnsi="Tahoma" w:cs="Tahoma"/>
      <w:sz w:val="16"/>
      <w:szCs w:val="16"/>
    </w:rPr>
  </w:style>
  <w:style w:type="table" w:styleId="TableGrid">
    <w:name w:val="Table Grid"/>
    <w:basedOn w:val="TableNormal"/>
    <w:uiPriority w:val="59"/>
    <w:rsid w:val="00DD2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ADE"/>
    <w:pPr>
      <w:ind w:left="720"/>
      <w:contextualSpacing/>
    </w:pPr>
  </w:style>
  <w:style w:type="character" w:customStyle="1" w:styleId="apple-converted-space">
    <w:name w:val="apple-converted-space"/>
    <w:basedOn w:val="DefaultParagraphFont"/>
    <w:rsid w:val="00952988"/>
  </w:style>
  <w:style w:type="paragraph" w:styleId="Header">
    <w:name w:val="header"/>
    <w:basedOn w:val="Normal"/>
    <w:link w:val="HeaderChar"/>
    <w:uiPriority w:val="99"/>
    <w:unhideWhenUsed/>
    <w:rsid w:val="00DD1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7A5"/>
  </w:style>
  <w:style w:type="paragraph" w:styleId="Footer">
    <w:name w:val="footer"/>
    <w:basedOn w:val="Normal"/>
    <w:link w:val="FooterChar"/>
    <w:uiPriority w:val="99"/>
    <w:unhideWhenUsed/>
    <w:rsid w:val="00DD1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739">
      <w:bodyDiv w:val="1"/>
      <w:marLeft w:val="0"/>
      <w:marRight w:val="0"/>
      <w:marTop w:val="0"/>
      <w:marBottom w:val="0"/>
      <w:divBdr>
        <w:top w:val="none" w:sz="0" w:space="0" w:color="auto"/>
        <w:left w:val="none" w:sz="0" w:space="0" w:color="auto"/>
        <w:bottom w:val="none" w:sz="0" w:space="0" w:color="auto"/>
        <w:right w:val="none" w:sz="0" w:space="0" w:color="auto"/>
      </w:divBdr>
      <w:divsChild>
        <w:div w:id="540674585">
          <w:marLeft w:val="0"/>
          <w:marRight w:val="0"/>
          <w:marTop w:val="0"/>
          <w:marBottom w:val="0"/>
          <w:divBdr>
            <w:top w:val="none" w:sz="0" w:space="0" w:color="auto"/>
            <w:left w:val="none" w:sz="0" w:space="0" w:color="auto"/>
            <w:bottom w:val="none" w:sz="0" w:space="0" w:color="auto"/>
            <w:right w:val="none" w:sz="0" w:space="0" w:color="auto"/>
          </w:divBdr>
        </w:div>
        <w:div w:id="1721898976">
          <w:marLeft w:val="0"/>
          <w:marRight w:val="0"/>
          <w:marTop w:val="0"/>
          <w:marBottom w:val="0"/>
          <w:divBdr>
            <w:top w:val="none" w:sz="0" w:space="0" w:color="auto"/>
            <w:left w:val="none" w:sz="0" w:space="0" w:color="auto"/>
            <w:bottom w:val="none" w:sz="0" w:space="0" w:color="auto"/>
            <w:right w:val="none" w:sz="0" w:space="0" w:color="auto"/>
          </w:divBdr>
        </w:div>
      </w:divsChild>
    </w:div>
    <w:div w:id="671376224">
      <w:bodyDiv w:val="1"/>
      <w:marLeft w:val="0"/>
      <w:marRight w:val="0"/>
      <w:marTop w:val="0"/>
      <w:marBottom w:val="0"/>
      <w:divBdr>
        <w:top w:val="none" w:sz="0" w:space="0" w:color="auto"/>
        <w:left w:val="none" w:sz="0" w:space="0" w:color="auto"/>
        <w:bottom w:val="none" w:sz="0" w:space="0" w:color="auto"/>
        <w:right w:val="none" w:sz="0" w:space="0" w:color="auto"/>
      </w:divBdr>
      <w:divsChild>
        <w:div w:id="288359802">
          <w:marLeft w:val="0"/>
          <w:marRight w:val="0"/>
          <w:marTop w:val="0"/>
          <w:marBottom w:val="0"/>
          <w:divBdr>
            <w:top w:val="none" w:sz="0" w:space="0" w:color="auto"/>
            <w:left w:val="none" w:sz="0" w:space="0" w:color="auto"/>
            <w:bottom w:val="none" w:sz="0" w:space="0" w:color="auto"/>
            <w:right w:val="none" w:sz="0" w:space="0" w:color="auto"/>
          </w:divBdr>
        </w:div>
        <w:div w:id="427626890">
          <w:marLeft w:val="0"/>
          <w:marRight w:val="0"/>
          <w:marTop w:val="0"/>
          <w:marBottom w:val="0"/>
          <w:divBdr>
            <w:top w:val="none" w:sz="0" w:space="0" w:color="auto"/>
            <w:left w:val="none" w:sz="0" w:space="0" w:color="auto"/>
            <w:bottom w:val="none" w:sz="0" w:space="0" w:color="auto"/>
            <w:right w:val="none" w:sz="0" w:space="0" w:color="auto"/>
          </w:divBdr>
        </w:div>
        <w:div w:id="2030641709">
          <w:marLeft w:val="0"/>
          <w:marRight w:val="0"/>
          <w:marTop w:val="0"/>
          <w:marBottom w:val="0"/>
          <w:divBdr>
            <w:top w:val="none" w:sz="0" w:space="0" w:color="auto"/>
            <w:left w:val="none" w:sz="0" w:space="0" w:color="auto"/>
            <w:bottom w:val="none" w:sz="0" w:space="0" w:color="auto"/>
            <w:right w:val="none" w:sz="0" w:space="0" w:color="auto"/>
          </w:divBdr>
        </w:div>
      </w:divsChild>
    </w:div>
    <w:div w:id="1136679948">
      <w:bodyDiv w:val="1"/>
      <w:marLeft w:val="0"/>
      <w:marRight w:val="0"/>
      <w:marTop w:val="0"/>
      <w:marBottom w:val="0"/>
      <w:divBdr>
        <w:top w:val="none" w:sz="0" w:space="0" w:color="auto"/>
        <w:left w:val="none" w:sz="0" w:space="0" w:color="auto"/>
        <w:bottom w:val="none" w:sz="0" w:space="0" w:color="auto"/>
        <w:right w:val="none" w:sz="0" w:space="0" w:color="auto"/>
      </w:divBdr>
      <w:divsChild>
        <w:div w:id="1983535272">
          <w:marLeft w:val="0"/>
          <w:marRight w:val="0"/>
          <w:marTop w:val="0"/>
          <w:marBottom w:val="0"/>
          <w:divBdr>
            <w:top w:val="none" w:sz="0" w:space="0" w:color="auto"/>
            <w:left w:val="none" w:sz="0" w:space="0" w:color="auto"/>
            <w:bottom w:val="none" w:sz="0" w:space="0" w:color="auto"/>
            <w:right w:val="none" w:sz="0" w:space="0" w:color="auto"/>
          </w:divBdr>
        </w:div>
        <w:div w:id="1022248243">
          <w:marLeft w:val="0"/>
          <w:marRight w:val="0"/>
          <w:marTop w:val="0"/>
          <w:marBottom w:val="0"/>
          <w:divBdr>
            <w:top w:val="none" w:sz="0" w:space="0" w:color="auto"/>
            <w:left w:val="none" w:sz="0" w:space="0" w:color="auto"/>
            <w:bottom w:val="none" w:sz="0" w:space="0" w:color="auto"/>
            <w:right w:val="none" w:sz="0" w:space="0" w:color="auto"/>
          </w:divBdr>
        </w:div>
      </w:divsChild>
    </w:div>
    <w:div w:id="1514799165">
      <w:bodyDiv w:val="1"/>
      <w:marLeft w:val="0"/>
      <w:marRight w:val="0"/>
      <w:marTop w:val="0"/>
      <w:marBottom w:val="0"/>
      <w:divBdr>
        <w:top w:val="none" w:sz="0" w:space="0" w:color="auto"/>
        <w:left w:val="none" w:sz="0" w:space="0" w:color="auto"/>
        <w:bottom w:val="none" w:sz="0" w:space="0" w:color="auto"/>
        <w:right w:val="none" w:sz="0" w:space="0" w:color="auto"/>
      </w:divBdr>
      <w:divsChild>
        <w:div w:id="1387489410">
          <w:marLeft w:val="0"/>
          <w:marRight w:val="0"/>
          <w:marTop w:val="0"/>
          <w:marBottom w:val="0"/>
          <w:divBdr>
            <w:top w:val="none" w:sz="0" w:space="0" w:color="auto"/>
            <w:left w:val="none" w:sz="0" w:space="0" w:color="auto"/>
            <w:bottom w:val="none" w:sz="0" w:space="0" w:color="auto"/>
            <w:right w:val="none" w:sz="0" w:space="0" w:color="auto"/>
          </w:divBdr>
        </w:div>
        <w:div w:id="1752459093">
          <w:marLeft w:val="0"/>
          <w:marRight w:val="0"/>
          <w:marTop w:val="0"/>
          <w:marBottom w:val="0"/>
          <w:divBdr>
            <w:top w:val="none" w:sz="0" w:space="0" w:color="auto"/>
            <w:left w:val="none" w:sz="0" w:space="0" w:color="auto"/>
            <w:bottom w:val="none" w:sz="0" w:space="0" w:color="auto"/>
            <w:right w:val="none" w:sz="0" w:space="0" w:color="auto"/>
          </w:divBdr>
        </w:div>
      </w:divsChild>
    </w:div>
    <w:div w:id="1654599806">
      <w:bodyDiv w:val="1"/>
      <w:marLeft w:val="0"/>
      <w:marRight w:val="0"/>
      <w:marTop w:val="0"/>
      <w:marBottom w:val="0"/>
      <w:divBdr>
        <w:top w:val="none" w:sz="0" w:space="0" w:color="auto"/>
        <w:left w:val="none" w:sz="0" w:space="0" w:color="auto"/>
        <w:bottom w:val="none" w:sz="0" w:space="0" w:color="auto"/>
        <w:right w:val="none" w:sz="0" w:space="0" w:color="auto"/>
      </w:divBdr>
      <w:divsChild>
        <w:div w:id="1865166798">
          <w:marLeft w:val="0"/>
          <w:marRight w:val="0"/>
          <w:marTop w:val="0"/>
          <w:marBottom w:val="0"/>
          <w:divBdr>
            <w:top w:val="none" w:sz="0" w:space="0" w:color="auto"/>
            <w:left w:val="none" w:sz="0" w:space="0" w:color="auto"/>
            <w:bottom w:val="none" w:sz="0" w:space="0" w:color="auto"/>
            <w:right w:val="none" w:sz="0" w:space="0" w:color="auto"/>
          </w:divBdr>
        </w:div>
        <w:div w:id="301350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Hirai, Chihiro</dc:creator>
  <cp:lastModifiedBy>Farrokh Alemi</cp:lastModifiedBy>
  <cp:revision>2</cp:revision>
  <cp:lastPrinted>2017-04-15T00:48:00Z</cp:lastPrinted>
  <dcterms:created xsi:type="dcterms:W3CDTF">2017-04-18T18:33:00Z</dcterms:created>
  <dcterms:modified xsi:type="dcterms:W3CDTF">2017-04-18T18:33:00Z</dcterms:modified>
</cp:coreProperties>
</file>