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45E" w:rsidRPr="004638BE" w:rsidRDefault="006E14B0" w:rsidP="00D7645E">
      <w:pPr>
        <w:rPr>
          <w:b/>
          <w:sz w:val="40"/>
          <w:szCs w:val="40"/>
        </w:rPr>
      </w:pPr>
      <w:r>
        <w:rPr>
          <w:b/>
          <w:sz w:val="40"/>
          <w:szCs w:val="40"/>
        </w:rPr>
        <w:t xml:space="preserve">Tutorial on </w:t>
      </w:r>
      <w:r w:rsidR="00D7645E" w:rsidRPr="004638BE">
        <w:rPr>
          <w:b/>
          <w:sz w:val="40"/>
          <w:szCs w:val="40"/>
        </w:rPr>
        <w:t xml:space="preserve">Design of a Matched Case Control Comparative Effectiveness Study  </w:t>
      </w:r>
    </w:p>
    <w:p w:rsidR="00D7645E" w:rsidRDefault="00D7645E" w:rsidP="00D7645E"/>
    <w:p w:rsidR="002E6D20" w:rsidRDefault="009D196F" w:rsidP="00D7645E">
      <w:r>
        <w:t>Farrokh Alemi, Ph.D.,</w:t>
      </w:r>
    </w:p>
    <w:p w:rsidR="009D196F" w:rsidRDefault="002E6D20" w:rsidP="00D7645E">
      <w:r>
        <w:t xml:space="preserve">Austin </w:t>
      </w:r>
      <w:r w:rsidR="00B03115">
        <w:t>Brown</w:t>
      </w:r>
      <w:r w:rsidR="009D196F">
        <w:t xml:space="preserve">  </w:t>
      </w:r>
    </w:p>
    <w:p w:rsidR="009D196F" w:rsidRDefault="009D196F" w:rsidP="00D7645E"/>
    <w:p w:rsidR="006E14B0" w:rsidRDefault="0055662C" w:rsidP="00D7645E">
      <w:r>
        <w:t>Friday, January 03, 2014</w:t>
      </w:r>
    </w:p>
    <w:p w:rsidR="0055662C" w:rsidRDefault="0055662C" w:rsidP="00D7645E"/>
    <w:p w:rsidR="00C142C7" w:rsidRDefault="00D7645E" w:rsidP="00D7645E">
      <w:r>
        <w:t>Corresponding author:  Farrokh Alemi, Ph.D</w:t>
      </w:r>
      <w:r w:rsidR="009D196F">
        <w:t>.</w:t>
      </w:r>
      <w:r>
        <w:t xml:space="preserve">  </w:t>
      </w:r>
      <w:r w:rsidR="00C142C7" w:rsidRPr="00C142C7">
        <w:rPr>
          <w:noProof/>
        </w:rPr>
        <w:drawing>
          <wp:inline distT="0" distB="0" distL="0" distR="0">
            <wp:extent cx="5943600" cy="177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7800"/>
                    </a:xfrm>
                    <a:prstGeom prst="rect">
                      <a:avLst/>
                    </a:prstGeom>
                    <a:noFill/>
                    <a:ln w="9525">
                      <a:noFill/>
                      <a:miter lim="800000"/>
                      <a:headEnd/>
                      <a:tailEnd/>
                    </a:ln>
                  </pic:spPr>
                </pic:pic>
              </a:graphicData>
            </a:graphic>
          </wp:inline>
        </w:drawing>
      </w:r>
    </w:p>
    <w:p w:rsidR="00D7645E" w:rsidRDefault="00D7645E" w:rsidP="00D7645E">
      <w:r>
        <w:t xml:space="preserve">This project was funded by </w:t>
      </w:r>
      <w:r w:rsidRPr="00D2298B">
        <w:t>appropriation #3620160</w:t>
      </w:r>
      <w:r>
        <w:t xml:space="preserve"> from </w:t>
      </w:r>
      <w:r w:rsidRPr="00D2298B">
        <w:t>VA Office of Geriatrics and Extended Care</w:t>
      </w:r>
      <w:r>
        <w:t>.  The contents of this paper do not represent the views of the Department of Veterans Affairs or the United States Government.”</w:t>
      </w:r>
    </w:p>
    <w:p w:rsidR="00D7645E" w:rsidRDefault="00D7645E" w:rsidP="00D7645E"/>
    <w:p w:rsidR="00D7645E" w:rsidRPr="00D2298B" w:rsidRDefault="00D7645E" w:rsidP="00D7645E"/>
    <w:p w:rsidR="00D7645E" w:rsidRPr="003B119E" w:rsidRDefault="00D7645E" w:rsidP="00D7645E">
      <w:pPr>
        <w:pStyle w:val="Heading1"/>
      </w:pPr>
      <w:r>
        <w:rPr>
          <w:sz w:val="36"/>
          <w:szCs w:val="36"/>
        </w:rPr>
        <w:br w:type="page"/>
      </w:r>
      <w:r w:rsidR="00DC14B5">
        <w:lastRenderedPageBreak/>
        <w:t>Summary</w:t>
      </w:r>
    </w:p>
    <w:p w:rsidR="00D7645E" w:rsidRDefault="00D7645E" w:rsidP="00C142C7">
      <w:pPr>
        <w:spacing w:line="276" w:lineRule="auto"/>
        <w:ind w:firstLine="720"/>
      </w:pPr>
      <w:r w:rsidRPr="00103FDA">
        <w:t xml:space="preserve">This </w:t>
      </w:r>
      <w:r w:rsidR="006E14B0">
        <w:t>paper</w:t>
      </w:r>
      <w:r w:rsidRPr="00103FDA">
        <w:t xml:space="preserve"> </w:t>
      </w:r>
      <w:r>
        <w:t xml:space="preserve">describes one method of conducting comparative effectiveness studies using matched case control.  This method can be used to evaluate the impact of </w:t>
      </w:r>
      <w:r w:rsidR="00DC14B5">
        <w:t xml:space="preserve">a program, such as </w:t>
      </w:r>
      <w:r>
        <w:t>Veteran Administration (VA) Medical</w:t>
      </w:r>
      <w:r w:rsidRPr="00103FDA">
        <w:t xml:space="preserve"> Foster Home (MFH) program</w:t>
      </w:r>
      <w:r>
        <w:t xml:space="preserve">.  Cases are selected from the program.  Controls are selected from </w:t>
      </w:r>
      <w:r w:rsidR="00DC14B5">
        <w:t>outside the program using the data available in the electronic health record</w:t>
      </w:r>
      <w:r>
        <w:t xml:space="preserve">.  </w:t>
      </w:r>
      <w:r w:rsidRPr="00103FDA">
        <w:rPr>
          <w:b/>
        </w:rPr>
        <w:t xml:space="preserve"> </w:t>
      </w:r>
      <w:r w:rsidR="00DC14B5" w:rsidRPr="00DC14B5">
        <w:t>Controls are matched to cases in relevant characteristics</w:t>
      </w:r>
      <w:r w:rsidRPr="00DC14B5">
        <w:t>.</w:t>
      </w:r>
      <w:r>
        <w:t xml:space="preserve">  </w:t>
      </w:r>
      <w:r w:rsidR="00DC14B5">
        <w:t xml:space="preserve">The impact of the program is examined by comparing cases to matched controls.  </w:t>
      </w:r>
      <w:r w:rsidR="00DC14B5" w:rsidRPr="002A4AD2">
        <w:t>This paper</w:t>
      </w:r>
      <w:r w:rsidR="00DC14B5">
        <w:rPr>
          <w:b/>
        </w:rPr>
        <w:t xml:space="preserve"> </w:t>
      </w:r>
      <w:r w:rsidR="00DC14B5">
        <w:t xml:space="preserve">describes </w:t>
      </w:r>
      <w:r w:rsidR="00DC14B5" w:rsidRPr="00103FDA">
        <w:t>a nested, matched case control design using retrospective data.</w:t>
      </w:r>
      <w:r w:rsidR="00DC14B5">
        <w:t xml:space="preserve"> </w:t>
      </w:r>
      <w:r>
        <w:t xml:space="preserve">It defines enrollment, observation and follow-up time periods.  It describes how cases and controls are matched.  Finally it describes statistical procedures for verification of matching and evaluation of the </w:t>
      </w:r>
      <w:r w:rsidR="006E14B0">
        <w:t xml:space="preserve">statistical significance of the </w:t>
      </w:r>
      <w:r>
        <w:t xml:space="preserve">impact of the program.  </w:t>
      </w:r>
    </w:p>
    <w:p w:rsidR="00D7645E" w:rsidRDefault="00D7645E" w:rsidP="00D7645E"/>
    <w:p w:rsidR="00D7645E" w:rsidRDefault="00D7645E" w:rsidP="00101AC0">
      <w:pPr>
        <w:pStyle w:val="Heading1"/>
        <w:numPr>
          <w:ilvl w:val="0"/>
          <w:numId w:val="4"/>
        </w:numPr>
      </w:pPr>
      <w:r w:rsidRPr="00A4718A">
        <w:rPr>
          <w:b w:val="0"/>
        </w:rPr>
        <w:br w:type="column"/>
      </w:r>
      <w:bookmarkStart w:id="0" w:name="_Toc359659830"/>
      <w:r w:rsidRPr="0019478B">
        <w:t>Background</w:t>
      </w:r>
      <w:bookmarkEnd w:id="0"/>
    </w:p>
    <w:p w:rsidR="0084270E" w:rsidRPr="00BE663E" w:rsidRDefault="0084270E" w:rsidP="00DC14B5"/>
    <w:p w:rsidR="00B14ABF" w:rsidRDefault="00D7645E" w:rsidP="00D7645E">
      <w:pPr>
        <w:spacing w:after="240" w:line="276" w:lineRule="auto"/>
        <w:ind w:firstLine="720"/>
      </w:pPr>
      <w:bookmarkStart w:id="1" w:name="_Toc294559455"/>
      <w:r>
        <w:t xml:space="preserve">In recent years there has been </w:t>
      </w:r>
      <w:r w:rsidR="002E31F2">
        <w:t xml:space="preserve">a </w:t>
      </w:r>
      <w:r>
        <w:t xml:space="preserve">growing </w:t>
      </w:r>
      <w:r w:rsidR="00437FF0">
        <w:t xml:space="preserve">interest </w:t>
      </w:r>
      <w:r>
        <w:t>in comparative effectiveness studies</w:t>
      </w:r>
      <w:r w:rsidR="002E31F2">
        <w:t>.</w:t>
      </w:r>
      <w:r w:rsidR="00437FF0">
        <w:t xml:space="preserve"> This interest is </w:t>
      </w:r>
      <w:r w:rsidR="00BE663E">
        <w:t xml:space="preserve">partially </w:t>
      </w:r>
      <w:r w:rsidR="00437FF0">
        <w:t>due to the</w:t>
      </w:r>
      <w:r w:rsidR="005B2A79">
        <w:t xml:space="preserve"> </w:t>
      </w:r>
      <w:r w:rsidR="00437FF0">
        <w:t>increased use of</w:t>
      </w:r>
      <w:r w:rsidR="005B2A79">
        <w:t xml:space="preserve"> electronic health records </w:t>
      </w:r>
      <w:r w:rsidR="00437FF0">
        <w:t xml:space="preserve">which for the first time have made </w:t>
      </w:r>
      <w:r w:rsidR="004D45FF">
        <w:t>these</w:t>
      </w:r>
      <w:r w:rsidR="00437FF0">
        <w:t xml:space="preserve"> techniques more accessible to </w:t>
      </w:r>
      <w:r w:rsidR="00B14ABF">
        <w:t xml:space="preserve">a </w:t>
      </w:r>
      <w:r w:rsidR="00437FF0">
        <w:t xml:space="preserve">wider </w:t>
      </w:r>
      <w:r w:rsidR="00B14ABF">
        <w:t>group</w:t>
      </w:r>
      <w:r w:rsidR="00437FF0">
        <w:t xml:space="preserve"> of practitioners</w:t>
      </w:r>
      <w:r w:rsidR="005B2A79">
        <w:t xml:space="preserve">.  </w:t>
      </w:r>
    </w:p>
    <w:p w:rsidR="00437FF0" w:rsidRDefault="00437FF0" w:rsidP="00D7645E">
      <w:pPr>
        <w:spacing w:after="240" w:line="276" w:lineRule="auto"/>
        <w:ind w:firstLine="720"/>
      </w:pPr>
      <w:r>
        <w:t xml:space="preserve">The gold standard of medical research is the randomized clinical trial – a rigorous approach that </w:t>
      </w:r>
      <w:r w:rsidR="006E14B0">
        <w:t>provides unbiased information about the impact of the intervention but (1) involves costly data collection, (2) restricts study to pre-defined eligible populations – typically those without comorbidities</w:t>
      </w:r>
      <w:r>
        <w:t xml:space="preserve">, and </w:t>
      </w:r>
      <w:r w:rsidR="006E14B0">
        <w:t>(3) denies access to some level of care for patients in the control group</w:t>
      </w:r>
      <w:r>
        <w:t xml:space="preserve">.  By comparison, retrospective </w:t>
      </w:r>
      <w:r w:rsidR="00FB4352">
        <w:t xml:space="preserve">comparative effectiveness </w:t>
      </w:r>
      <w:r w:rsidR="006E14B0">
        <w:t xml:space="preserve">provides less clear conclusions but reflects the patient population being served with all of idiosyncratic comorbidities and characteristics.  No data are collected for evaluation purposes and </w:t>
      </w:r>
      <w:r>
        <w:t>electronic medical record</w:t>
      </w:r>
      <w:r w:rsidR="006E14B0">
        <w:t>s are used to assess the impact of the intervention</w:t>
      </w:r>
      <w:r>
        <w:t>.  Alth</w:t>
      </w:r>
      <w:r w:rsidR="00B14ABF">
        <w:t>ough there are limitations, these</w:t>
      </w:r>
      <w:r>
        <w:t xml:space="preserve"> technique</w:t>
      </w:r>
      <w:r w:rsidR="00B14ABF">
        <w:t>s have</w:t>
      </w:r>
      <w:r>
        <w:t xml:space="preserve"> yielded surprising and important insights in clinical care.   </w:t>
      </w:r>
    </w:p>
    <w:p w:rsidR="00D7645E" w:rsidRDefault="00FB4352" w:rsidP="00D7645E">
      <w:pPr>
        <w:spacing w:after="240" w:line="276" w:lineRule="auto"/>
        <w:ind w:firstLine="720"/>
        <w:rPr>
          <w:szCs w:val="24"/>
        </w:rPr>
      </w:pPr>
      <w:r>
        <w:t>Many different techniques have been developed</w:t>
      </w:r>
      <w:r w:rsidR="00231350">
        <w:t xml:space="preserve"> </w:t>
      </w:r>
      <w:r w:rsidR="006E14B0">
        <w:t xml:space="preserve">to conduct comparative effectiveness studies </w:t>
      </w:r>
      <w:r w:rsidR="00231350">
        <w:t>[</w:t>
      </w:r>
      <w:r w:rsidR="00231350">
        <w:rPr>
          <w:rStyle w:val="EndnoteReference"/>
        </w:rPr>
        <w:endnoteReference w:id="1"/>
      </w:r>
      <w:r>
        <w:t>]</w:t>
      </w:r>
      <w:r w:rsidR="006E14B0">
        <w:t>; none</w:t>
      </w:r>
      <w:r>
        <w:t xml:space="preserve"> are without their critics </w:t>
      </w:r>
      <w:r w:rsidR="00D7645E">
        <w:t>[</w:t>
      </w:r>
      <w:r w:rsidR="00D7645E">
        <w:rPr>
          <w:rStyle w:val="EndnoteReference"/>
        </w:rPr>
        <w:endnoteReference w:id="2"/>
      </w:r>
      <w:r w:rsidR="00D7645E">
        <w:t>]</w:t>
      </w:r>
      <w:r>
        <w:t>.</w:t>
      </w:r>
      <w:r w:rsidR="00D7645E">
        <w:t xml:space="preserve">  </w:t>
      </w:r>
      <w:r>
        <w:t xml:space="preserve">The chief complaint is often that </w:t>
      </w:r>
      <w:r>
        <w:rPr>
          <w:szCs w:val="24"/>
        </w:rPr>
        <w:t xml:space="preserve">different </w:t>
      </w:r>
      <w:r w:rsidR="004D45FF">
        <w:t xml:space="preserve">comparative effectiveness </w:t>
      </w:r>
      <w:r>
        <w:rPr>
          <w:szCs w:val="24"/>
        </w:rPr>
        <w:t>approaches can lead</w:t>
      </w:r>
      <w:r w:rsidR="00D7645E" w:rsidRPr="005F2B4A">
        <w:rPr>
          <w:szCs w:val="24"/>
        </w:rPr>
        <w:t xml:space="preserve"> to contradictory findings [</w:t>
      </w:r>
      <w:r w:rsidR="00D7645E" w:rsidRPr="005F2B4A">
        <w:rPr>
          <w:rStyle w:val="EndnoteReference"/>
        </w:rPr>
        <w:endnoteReference w:id="3"/>
      </w:r>
      <w:r w:rsidR="00D7645E" w:rsidRPr="005F2B4A">
        <w:rPr>
          <w:szCs w:val="24"/>
        </w:rPr>
        <w:t>]</w:t>
      </w:r>
      <w:r w:rsidR="00B31DD8">
        <w:rPr>
          <w:szCs w:val="24"/>
        </w:rPr>
        <w:t xml:space="preserve">. </w:t>
      </w:r>
      <w:r w:rsidR="00BE663E">
        <w:rPr>
          <w:szCs w:val="24"/>
        </w:rPr>
        <w:t>C</w:t>
      </w:r>
      <w:r w:rsidR="008B2AC0" w:rsidRPr="007F57B1">
        <w:rPr>
          <w:szCs w:val="24"/>
        </w:rPr>
        <w:t xml:space="preserve">ontradictions </w:t>
      </w:r>
      <w:r w:rsidR="00CE0199" w:rsidRPr="00DC14B5">
        <w:rPr>
          <w:szCs w:val="24"/>
        </w:rPr>
        <w:t xml:space="preserve">can </w:t>
      </w:r>
      <w:r w:rsidR="008B2AC0" w:rsidRPr="007F57B1">
        <w:rPr>
          <w:szCs w:val="24"/>
        </w:rPr>
        <w:t xml:space="preserve">arise because </w:t>
      </w:r>
      <w:r w:rsidR="0084270E">
        <w:rPr>
          <w:szCs w:val="24"/>
        </w:rPr>
        <w:t>findings are</w:t>
      </w:r>
      <w:r w:rsidR="008B2AC0" w:rsidRPr="007F57B1">
        <w:rPr>
          <w:szCs w:val="24"/>
        </w:rPr>
        <w:t xml:space="preserve"> based on nonrandom data and observations drawn from a wide variety of </w:t>
      </w:r>
      <w:r w:rsidR="00B1262A">
        <w:rPr>
          <w:szCs w:val="24"/>
        </w:rPr>
        <w:t xml:space="preserve">disparate </w:t>
      </w:r>
      <w:r w:rsidR="008B2AC0" w:rsidRPr="007F57B1">
        <w:rPr>
          <w:szCs w:val="24"/>
        </w:rPr>
        <w:t>sources including databases for insurance claims, prescription histories, national registries, as well</w:t>
      </w:r>
      <w:r w:rsidR="00B1262A">
        <w:rPr>
          <w:szCs w:val="24"/>
        </w:rPr>
        <w:t xml:space="preserve"> as patient treatment records</w:t>
      </w:r>
      <w:r w:rsidR="00D10947">
        <w:rPr>
          <w:szCs w:val="24"/>
        </w:rPr>
        <w:t xml:space="preserve">. </w:t>
      </w:r>
      <w:r w:rsidR="00BB6679">
        <w:rPr>
          <w:szCs w:val="24"/>
        </w:rPr>
        <w:t>This illustrates both the problem and its solution - l</w:t>
      </w:r>
      <w:r w:rsidR="008B2AC0" w:rsidRPr="007F57B1">
        <w:rPr>
          <w:szCs w:val="24"/>
        </w:rPr>
        <w:t>acking true random sampling, studies must be carefully designed to ensure that data are representative of the larger population for the character</w:t>
      </w:r>
      <w:r w:rsidR="008D26A3" w:rsidRPr="00DC14B5">
        <w:rPr>
          <w:szCs w:val="24"/>
        </w:rPr>
        <w:t xml:space="preserve">istics being assessed; moreover, it must be possible to </w:t>
      </w:r>
      <w:r w:rsidR="003C0584">
        <w:rPr>
          <w:szCs w:val="24"/>
        </w:rPr>
        <w:t xml:space="preserve">measure </w:t>
      </w:r>
      <w:r w:rsidR="008B2AC0" w:rsidRPr="007F57B1">
        <w:rPr>
          <w:szCs w:val="24"/>
        </w:rPr>
        <w:t xml:space="preserve">outcomes with </w:t>
      </w:r>
      <w:r w:rsidR="003C0584">
        <w:rPr>
          <w:szCs w:val="24"/>
        </w:rPr>
        <w:t>variables available in the database</w:t>
      </w:r>
      <w:r w:rsidR="006E14B0">
        <w:rPr>
          <w:szCs w:val="24"/>
        </w:rPr>
        <w:t xml:space="preserve"> </w:t>
      </w:r>
      <w:r w:rsidR="008B2AC0" w:rsidRPr="007F57B1">
        <w:rPr>
          <w:szCs w:val="24"/>
        </w:rPr>
        <w:t>[</w:t>
      </w:r>
      <w:r w:rsidR="008B2AC0" w:rsidRPr="007F57B1">
        <w:rPr>
          <w:rStyle w:val="EndnoteReference"/>
          <w:szCs w:val="24"/>
        </w:rPr>
        <w:endnoteReference w:id="4"/>
      </w:r>
      <w:r w:rsidR="008B2AC0" w:rsidRPr="007F57B1">
        <w:rPr>
          <w:szCs w:val="24"/>
        </w:rPr>
        <w:t>]</w:t>
      </w:r>
      <w:r w:rsidR="006E14B0">
        <w:rPr>
          <w:szCs w:val="24"/>
        </w:rPr>
        <w:t>.</w:t>
      </w:r>
      <w:r w:rsidR="008B2AC0">
        <w:rPr>
          <w:szCs w:val="24"/>
        </w:rPr>
        <w:t xml:space="preserve">    </w:t>
      </w:r>
      <w:r w:rsidR="00D7645E">
        <w:rPr>
          <w:szCs w:val="24"/>
        </w:rPr>
        <w:t xml:space="preserve">In order to </w:t>
      </w:r>
      <w:r w:rsidR="005B2A79">
        <w:rPr>
          <w:szCs w:val="24"/>
        </w:rPr>
        <w:t xml:space="preserve">standardize </w:t>
      </w:r>
      <w:r w:rsidR="00D7645E">
        <w:rPr>
          <w:szCs w:val="24"/>
        </w:rPr>
        <w:t xml:space="preserve">the conduct of comparative effectiveness studies, this paper describes the procedures for a </w:t>
      </w:r>
      <w:r w:rsidR="005B2A79">
        <w:rPr>
          <w:szCs w:val="24"/>
        </w:rPr>
        <w:t xml:space="preserve">retrospective </w:t>
      </w:r>
      <w:r w:rsidR="00D7645E">
        <w:rPr>
          <w:szCs w:val="24"/>
        </w:rPr>
        <w:t xml:space="preserve">matched case control </w:t>
      </w:r>
      <w:r w:rsidR="005B2A79">
        <w:rPr>
          <w:szCs w:val="24"/>
        </w:rPr>
        <w:t xml:space="preserve">comparative effectiveness </w:t>
      </w:r>
      <w:r w:rsidR="00D7645E">
        <w:rPr>
          <w:szCs w:val="24"/>
        </w:rPr>
        <w:t>study.</w:t>
      </w:r>
    </w:p>
    <w:p w:rsidR="00D7645E" w:rsidRDefault="00D7645E" w:rsidP="00D7645E">
      <w:pPr>
        <w:pStyle w:val="Heading1"/>
      </w:pPr>
      <w:bookmarkStart w:id="2" w:name="_Toc359659831"/>
      <w:r>
        <w:t>Source of data</w:t>
      </w:r>
      <w:bookmarkEnd w:id="2"/>
    </w:p>
    <w:p w:rsidR="004807BD" w:rsidRDefault="00D7645E" w:rsidP="00D7645E">
      <w:pPr>
        <w:spacing w:line="276" w:lineRule="auto"/>
        <w:ind w:firstLine="720"/>
      </w:pPr>
      <w:r>
        <w:t xml:space="preserve">Data for </w:t>
      </w:r>
      <w:r w:rsidR="005B2A79">
        <w:t xml:space="preserve">retrospective </w:t>
      </w:r>
      <w:r>
        <w:t xml:space="preserve">comparative effectiveness studies is usually obtained from electronic health records.  These data may include </w:t>
      </w:r>
      <w:r w:rsidR="00F86692">
        <w:t>prescriptions</w:t>
      </w:r>
      <w:r>
        <w:t xml:space="preserve">, diagnoses, </w:t>
      </w:r>
      <w:r w:rsidR="00810AB7">
        <w:t xml:space="preserve">records from </w:t>
      </w:r>
      <w:r>
        <w:t xml:space="preserve">hospitalizations and outpatient care, clinician’s notes and dates of encounters.  Data are usually obtained for well-defined number of recent years that exceed both the planned observation </w:t>
      </w:r>
      <w:r w:rsidR="005B2A79">
        <w:t>prior to enrollment in the program and</w:t>
      </w:r>
      <w:r>
        <w:t xml:space="preserve"> </w:t>
      </w:r>
      <w:r w:rsidR="005B2A79">
        <w:t xml:space="preserve">the </w:t>
      </w:r>
      <w:r>
        <w:t>follow-up years</w:t>
      </w:r>
      <w:r w:rsidR="005B2A79">
        <w:t xml:space="preserve"> after enrollment in the program</w:t>
      </w:r>
      <w:r>
        <w:t xml:space="preserve">.  </w:t>
      </w:r>
    </w:p>
    <w:p w:rsidR="00701364" w:rsidRDefault="00701364" w:rsidP="00701364">
      <w:pPr>
        <w:pStyle w:val="TextTimesRom11"/>
        <w:keepNext/>
        <w:tabs>
          <w:tab w:val="left" w:pos="1701"/>
          <w:tab w:val="left" w:pos="4678"/>
        </w:tabs>
        <w:ind w:left="0"/>
        <w:jc w:val="center"/>
        <w:rPr>
          <w:b/>
          <w:sz w:val="24"/>
          <w:szCs w:val="24"/>
        </w:rPr>
      </w:pPr>
      <w:r w:rsidRPr="00B71953">
        <w:rPr>
          <w:b/>
          <w:sz w:val="24"/>
          <w:szCs w:val="24"/>
        </w:rPr>
        <w:t xml:space="preserve">Figure 1: </w:t>
      </w:r>
      <w:r>
        <w:rPr>
          <w:b/>
          <w:sz w:val="24"/>
          <w:szCs w:val="24"/>
        </w:rPr>
        <w:t>Example of a Relational Database</w:t>
      </w:r>
      <w:r>
        <w:rPr>
          <w:rStyle w:val="EndnoteReference"/>
        </w:rPr>
        <w:endnoteReference w:id="5"/>
      </w:r>
    </w:p>
    <w:p w:rsidR="004807BD" w:rsidRDefault="004807BD" w:rsidP="00701364">
      <w:pPr>
        <w:spacing w:line="276" w:lineRule="auto"/>
        <w:jc w:val="center"/>
      </w:pPr>
      <w:r>
        <w:rPr>
          <w:noProof/>
        </w:rPr>
        <w:drawing>
          <wp:inline distT="0" distB="0" distL="0" distR="0">
            <wp:extent cx="4066565" cy="2442190"/>
            <wp:effectExtent l="19050" t="19050" r="0" b="0"/>
            <wp:docPr id="8" name="Picture 8" descr="C:\Users\AB2369\Desktop\DM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2369\Desktop\DM_FULL.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971" cy="2443635"/>
                    </a:xfrm>
                    <a:prstGeom prst="rect">
                      <a:avLst/>
                    </a:prstGeom>
                    <a:noFill/>
                    <a:ln>
                      <a:solidFill>
                        <a:schemeClr val="tx1"/>
                      </a:solidFill>
                    </a:ln>
                  </pic:spPr>
                </pic:pic>
              </a:graphicData>
            </a:graphic>
          </wp:inline>
        </w:drawing>
      </w:r>
    </w:p>
    <w:p w:rsidR="00606E01" w:rsidRPr="00606E01" w:rsidRDefault="00606E01" w:rsidP="00606E01">
      <w:pPr>
        <w:pStyle w:val="TextTimesRom11"/>
        <w:tabs>
          <w:tab w:val="left" w:pos="1701"/>
          <w:tab w:val="left" w:pos="4678"/>
        </w:tabs>
        <w:ind w:left="0"/>
        <w:jc w:val="center"/>
        <w:rPr>
          <w:sz w:val="24"/>
          <w:szCs w:val="24"/>
        </w:rPr>
      </w:pPr>
    </w:p>
    <w:p w:rsidR="003C0584" w:rsidRDefault="00D7645E" w:rsidP="003C0584">
      <w:pPr>
        <w:spacing w:line="276" w:lineRule="auto"/>
        <w:ind w:firstLine="720"/>
        <w:rPr>
          <w:szCs w:val="24"/>
        </w:rPr>
      </w:pPr>
      <w:r>
        <w:rPr>
          <w:szCs w:val="24"/>
        </w:rPr>
        <w:t xml:space="preserve">Statisticians are used to matrix data structures with cases in rows of a table and variables in columns.  These types of data structures have sparse entries </w:t>
      </w:r>
      <w:r w:rsidR="00810AB7">
        <w:rPr>
          <w:szCs w:val="24"/>
        </w:rPr>
        <w:t xml:space="preserve">since </w:t>
      </w:r>
      <w:r>
        <w:rPr>
          <w:szCs w:val="24"/>
        </w:rPr>
        <w:t xml:space="preserve">many variables are not relevant to every case.  In contrast, data in electronic health records are distributed in numerous smaller but dense tables.  For example, all information about patient characteristics (e.g. </w:t>
      </w:r>
      <w:r w:rsidR="005B2A79">
        <w:rPr>
          <w:szCs w:val="24"/>
        </w:rPr>
        <w:t>date of birth</w:t>
      </w:r>
      <w:r w:rsidR="00BA66F8">
        <w:rPr>
          <w:szCs w:val="24"/>
        </w:rPr>
        <w:t>, date of death</w:t>
      </w:r>
      <w:r>
        <w:rPr>
          <w:szCs w:val="24"/>
        </w:rPr>
        <w:t>) is available in one table</w:t>
      </w:r>
      <w:r w:rsidR="00BA66F8">
        <w:rPr>
          <w:szCs w:val="24"/>
        </w:rPr>
        <w:t xml:space="preserve"> (see left side of Table 1)</w:t>
      </w:r>
      <w:r w:rsidR="005B2A79">
        <w:rPr>
          <w:szCs w:val="24"/>
        </w:rPr>
        <w:t>; i</w:t>
      </w:r>
      <w:r>
        <w:rPr>
          <w:szCs w:val="24"/>
        </w:rPr>
        <w:t>nformation about encounters is available in other tables</w:t>
      </w:r>
      <w:r w:rsidR="00BA66F8">
        <w:rPr>
          <w:szCs w:val="24"/>
        </w:rPr>
        <w:t xml:space="preserve"> (see right side of Table 1)</w:t>
      </w:r>
      <w:r w:rsidR="005B2A79">
        <w:rPr>
          <w:szCs w:val="24"/>
        </w:rPr>
        <w:t>, and still another table provides information about laboratory findings.</w:t>
      </w:r>
      <w:r>
        <w:rPr>
          <w:szCs w:val="24"/>
        </w:rPr>
        <w:t xml:space="preserve">  </w:t>
      </w:r>
      <w:r w:rsidR="0063194A">
        <w:rPr>
          <w:szCs w:val="24"/>
        </w:rPr>
        <w:t xml:space="preserve">In </w:t>
      </w:r>
      <w:r w:rsidR="00F86692">
        <w:rPr>
          <w:szCs w:val="24"/>
        </w:rPr>
        <w:t>a modern electronic health record millions of data elements can be distributed in thousands of individual t</w:t>
      </w:r>
      <w:r w:rsidR="0063194A">
        <w:rPr>
          <w:szCs w:val="24"/>
        </w:rPr>
        <w:t>ables</w:t>
      </w:r>
      <w:r w:rsidR="00B05A99">
        <w:rPr>
          <w:szCs w:val="24"/>
        </w:rPr>
        <w:t>.</w:t>
      </w:r>
      <w:r w:rsidR="00F86692">
        <w:rPr>
          <w:szCs w:val="24"/>
        </w:rPr>
        <w:t xml:space="preserve"> </w:t>
      </w:r>
      <w:r w:rsidR="00BA66F8">
        <w:rPr>
          <w:szCs w:val="24"/>
        </w:rPr>
        <w:t xml:space="preserve">The analysis of data starts with making yourself familiar with the structure of the data.  </w:t>
      </w:r>
      <w:r w:rsidR="00F86692">
        <w:rPr>
          <w:szCs w:val="24"/>
        </w:rPr>
        <w:t xml:space="preserve">The first challenge in performing a comparative effectiveness study is to </w:t>
      </w:r>
      <w:r w:rsidR="00B05A99">
        <w:rPr>
          <w:szCs w:val="24"/>
        </w:rPr>
        <w:t>aggregate the data</w:t>
      </w:r>
      <w:r w:rsidR="00BA66F8">
        <w:rPr>
          <w:szCs w:val="24"/>
        </w:rPr>
        <w:t xml:space="preserve"> in a format that can be used for statistical analysis </w:t>
      </w:r>
      <w:r w:rsidR="00A67D97">
        <w:rPr>
          <w:szCs w:val="24"/>
        </w:rPr>
        <w:t>[</w:t>
      </w:r>
      <w:r w:rsidR="00A67D97">
        <w:rPr>
          <w:rStyle w:val="EndnoteReference"/>
          <w:szCs w:val="24"/>
        </w:rPr>
        <w:endnoteReference w:id="6"/>
      </w:r>
      <w:r w:rsidR="00A67D97">
        <w:rPr>
          <w:szCs w:val="24"/>
        </w:rPr>
        <w:t>]</w:t>
      </w:r>
      <w:r w:rsidR="00DC14B5">
        <w:rPr>
          <w:szCs w:val="24"/>
        </w:rPr>
        <w:t>.</w:t>
      </w:r>
    </w:p>
    <w:p w:rsidR="00FB0029" w:rsidRDefault="00FB0029" w:rsidP="003C0584">
      <w:pPr>
        <w:spacing w:line="276" w:lineRule="auto"/>
        <w:ind w:firstLine="720"/>
        <w:rPr>
          <w:szCs w:val="24"/>
        </w:rPr>
      </w:pPr>
    </w:p>
    <w:p w:rsidR="00FB0029" w:rsidRPr="00FB0029" w:rsidRDefault="00FB0029" w:rsidP="00BA66F8">
      <w:pPr>
        <w:keepNext/>
        <w:jc w:val="center"/>
        <w:rPr>
          <w:b/>
          <w:szCs w:val="24"/>
        </w:rPr>
      </w:pPr>
      <w:r w:rsidRPr="00FB0029">
        <w:rPr>
          <w:b/>
          <w:szCs w:val="24"/>
        </w:rPr>
        <w:t>Table 1:  Patient Data &amp; Visit Data Are in Two Different Tables</w:t>
      </w:r>
    </w:p>
    <w:p w:rsidR="00FB0029" w:rsidRDefault="00FB0029" w:rsidP="00FB0029">
      <w:pPr>
        <w:spacing w:line="276" w:lineRule="auto"/>
        <w:jc w:val="center"/>
        <w:rPr>
          <w:szCs w:val="24"/>
        </w:rPr>
      </w:pPr>
      <w:r w:rsidRPr="00FB0029">
        <w:rPr>
          <w:szCs w:val="24"/>
        </w:rPr>
        <w:drawing>
          <wp:inline distT="0" distB="0" distL="0" distR="0">
            <wp:extent cx="4768850" cy="2786617"/>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0" cy="2786617"/>
                    </a:xfrm>
                    <a:prstGeom prst="rect">
                      <a:avLst/>
                    </a:prstGeom>
                    <a:noFill/>
                    <a:ln>
                      <a:noFill/>
                    </a:ln>
                  </pic:spPr>
                </pic:pic>
              </a:graphicData>
            </a:graphic>
          </wp:inline>
        </w:drawing>
      </w:r>
    </w:p>
    <w:p w:rsidR="00F60470" w:rsidRPr="00FF1090" w:rsidRDefault="003C0584" w:rsidP="00FB0029">
      <w:pPr>
        <w:spacing w:line="276" w:lineRule="auto"/>
        <w:rPr>
          <w:szCs w:val="24"/>
        </w:rPr>
      </w:pPr>
      <w:r w:rsidRPr="00FF1090">
        <w:rPr>
          <w:szCs w:val="24"/>
        </w:rPr>
        <w:t xml:space="preserve">Standard Query Language, SQL, is used to prepare the data for analysis.  In an SQL, the investigator specifies the address of a table where the data can be found.  If data are in multiple tables, as often they are, the investigator uses a Join command to include data from multiple tables.  Tables are joined using the primary key of the table.  A </w:t>
      </w:r>
      <w:r w:rsidR="004677C1" w:rsidRPr="00FF1090">
        <w:rPr>
          <w:szCs w:val="24"/>
        </w:rPr>
        <w:t xml:space="preserve">primary key is selected so that the </w:t>
      </w:r>
      <w:r w:rsidRPr="00FF1090">
        <w:rPr>
          <w:szCs w:val="24"/>
        </w:rPr>
        <w:t>ta</w:t>
      </w:r>
      <w:bookmarkStart w:id="3" w:name="_GoBack"/>
      <w:bookmarkEnd w:id="3"/>
      <w:r w:rsidRPr="00FF1090">
        <w:rPr>
          <w:szCs w:val="24"/>
        </w:rPr>
        <w:t>ble is a set of information about its primary key.  So</w:t>
      </w:r>
      <w:r w:rsidR="00BA66F8">
        <w:rPr>
          <w:szCs w:val="24"/>
        </w:rPr>
        <w:t>,</w:t>
      </w:r>
      <w:r w:rsidRPr="00FF1090">
        <w:rPr>
          <w:szCs w:val="24"/>
        </w:rPr>
        <w:t xml:space="preserve"> a table on diagnoses codes has the code as primary key and has the description of the code as </w:t>
      </w:r>
      <w:r w:rsidR="004677C1" w:rsidRPr="00FF1090">
        <w:rPr>
          <w:szCs w:val="24"/>
        </w:rPr>
        <w:t>information about the primary key</w:t>
      </w:r>
      <w:r w:rsidRPr="00FF1090">
        <w:rPr>
          <w:szCs w:val="24"/>
        </w:rPr>
        <w:t>.  A table on patient has the patients’ medical record number as the primary key and patients name</w:t>
      </w:r>
      <w:r w:rsidR="004677C1" w:rsidRPr="00FF1090">
        <w:rPr>
          <w:szCs w:val="24"/>
        </w:rPr>
        <w:t xml:space="preserve"> and birthday </w:t>
      </w:r>
      <w:r w:rsidRPr="00FF1090">
        <w:rPr>
          <w:szCs w:val="24"/>
        </w:rPr>
        <w:t>as other variables</w:t>
      </w:r>
      <w:r w:rsidR="00BA66F8">
        <w:rPr>
          <w:szCs w:val="24"/>
        </w:rPr>
        <w:t xml:space="preserve"> (see left side of Table 1)</w:t>
      </w:r>
      <w:r w:rsidRPr="00FF1090">
        <w:rPr>
          <w:szCs w:val="24"/>
        </w:rPr>
        <w:t xml:space="preserve">.  A table on visits </w:t>
      </w:r>
      <w:r w:rsidR="00BA66F8">
        <w:rPr>
          <w:szCs w:val="24"/>
        </w:rPr>
        <w:t xml:space="preserve">(see right side of Table 1) </w:t>
      </w:r>
      <w:r w:rsidRPr="00FF1090">
        <w:rPr>
          <w:szCs w:val="24"/>
        </w:rPr>
        <w:t xml:space="preserve">has </w:t>
      </w:r>
      <w:r w:rsidR="00BA66F8">
        <w:rPr>
          <w:szCs w:val="24"/>
        </w:rPr>
        <w:t>encounter</w:t>
      </w:r>
      <w:r w:rsidRPr="00FF1090">
        <w:rPr>
          <w:szCs w:val="24"/>
        </w:rPr>
        <w:t xml:space="preserve"> ID, and diagnoses ID but not the description of the diagnosis, a patient ID but not the patient characteristics</w:t>
      </w:r>
      <w:r w:rsidR="004677C1" w:rsidRPr="00FF1090">
        <w:rPr>
          <w:szCs w:val="24"/>
        </w:rPr>
        <w:t>, a provider ID but no other information about the provider</w:t>
      </w:r>
      <w:r w:rsidRPr="00FF1090">
        <w:rPr>
          <w:szCs w:val="24"/>
        </w:rPr>
        <w:t xml:space="preserve">.  A </w:t>
      </w:r>
      <w:r w:rsidR="00BA66F8">
        <w:rPr>
          <w:szCs w:val="24"/>
        </w:rPr>
        <w:t>“J</w:t>
      </w:r>
      <w:r w:rsidRPr="00FF1090">
        <w:rPr>
          <w:szCs w:val="24"/>
        </w:rPr>
        <w:t>oin</w:t>
      </w:r>
      <w:r w:rsidR="00BA66F8">
        <w:rPr>
          <w:szCs w:val="24"/>
        </w:rPr>
        <w:t>”</w:t>
      </w:r>
      <w:r w:rsidRPr="00FF1090">
        <w:rPr>
          <w:szCs w:val="24"/>
        </w:rPr>
        <w:t xml:space="preserve"> command in SQL would allow the investigator to </w:t>
      </w:r>
      <w:r w:rsidR="00BA66F8">
        <w:rPr>
          <w:szCs w:val="24"/>
        </w:rPr>
        <w:t>connect</w:t>
      </w:r>
      <w:r w:rsidRPr="00FF1090">
        <w:rPr>
          <w:szCs w:val="24"/>
        </w:rPr>
        <w:t xml:space="preserve"> the visit table to the patient table and thus be able to read the date of birth of the patient.  It would allow one to join the visit table to </w:t>
      </w:r>
      <w:r w:rsidR="004677C1" w:rsidRPr="00FF1090">
        <w:rPr>
          <w:szCs w:val="24"/>
        </w:rPr>
        <w:t xml:space="preserve">the diagnoses table and thus be able to read the description of the patient’s diagnoses.  Knowledge of SQL is necessary for preparing data </w:t>
      </w:r>
      <w:r w:rsidR="00BA66F8">
        <w:rPr>
          <w:szCs w:val="24"/>
        </w:rPr>
        <w:t xml:space="preserve">electronic health records </w:t>
      </w:r>
      <w:r w:rsidR="004677C1" w:rsidRPr="00FF1090">
        <w:rPr>
          <w:szCs w:val="24"/>
        </w:rPr>
        <w:t xml:space="preserve">for statistical analysis.  </w:t>
      </w:r>
    </w:p>
    <w:p w:rsidR="003C0584" w:rsidRPr="003C0584" w:rsidRDefault="00F60470" w:rsidP="003C0584">
      <w:pPr>
        <w:spacing w:line="276" w:lineRule="auto"/>
        <w:ind w:firstLine="720"/>
        <w:rPr>
          <w:szCs w:val="24"/>
        </w:rPr>
      </w:pPr>
      <w:r w:rsidRPr="00FF1090">
        <w:rPr>
          <w:szCs w:val="24"/>
        </w:rPr>
        <w:t>Besides</w:t>
      </w:r>
      <w:r>
        <w:rPr>
          <w:szCs w:val="24"/>
        </w:rPr>
        <w:t xml:space="preserve"> join, SQL allows a handful of other commands including procedures to filter, count or average the data.  </w:t>
      </w:r>
      <w:r w:rsidR="00BA66F8">
        <w:rPr>
          <w:szCs w:val="24"/>
        </w:rPr>
        <w:t xml:space="preserve">SQL allows </w:t>
      </w:r>
      <w:r>
        <w:rPr>
          <w:szCs w:val="24"/>
        </w:rPr>
        <w:t>very few</w:t>
      </w:r>
      <w:r w:rsidR="00BA66F8">
        <w:rPr>
          <w:szCs w:val="24"/>
        </w:rPr>
        <w:t xml:space="preserve"> commands.  One can learn these commands quickly.  R</w:t>
      </w:r>
      <w:r>
        <w:rPr>
          <w:szCs w:val="24"/>
        </w:rPr>
        <w:t xml:space="preserve">epeated </w:t>
      </w:r>
      <w:r w:rsidR="00BA66F8">
        <w:rPr>
          <w:szCs w:val="24"/>
        </w:rPr>
        <w:t>uses of these commands allow</w:t>
      </w:r>
      <w:r>
        <w:rPr>
          <w:szCs w:val="24"/>
        </w:rPr>
        <w:t xml:space="preserve"> preparation of complex data in formats suitable for statistical analysis.  </w:t>
      </w:r>
      <w:r w:rsidR="004677C1">
        <w:rPr>
          <w:szCs w:val="24"/>
        </w:rPr>
        <w:t xml:space="preserve">Detailed instructions on use of SQL can be found at different </w:t>
      </w:r>
      <w:r w:rsidR="00BA66F8">
        <w:rPr>
          <w:szCs w:val="24"/>
        </w:rPr>
        <w:t>locations on the web</w:t>
      </w:r>
      <w:r w:rsidR="004677C1">
        <w:rPr>
          <w:szCs w:val="24"/>
        </w:rPr>
        <w:t xml:space="preserve">, including at </w:t>
      </w:r>
      <w:hyperlink r:id="rId11" w:history="1">
        <w:r w:rsidR="004677C1" w:rsidRPr="00FD3361">
          <w:rPr>
            <w:rStyle w:val="Hyperlink"/>
            <w:szCs w:val="24"/>
          </w:rPr>
          <w:t>http://openonlinecourses.com/databases</w:t>
        </w:r>
      </w:hyperlink>
      <w:r w:rsidR="004677C1">
        <w:rPr>
          <w:szCs w:val="24"/>
        </w:rPr>
        <w:t>.</w:t>
      </w:r>
      <w:r w:rsidR="00BA66F8">
        <w:rPr>
          <w:szCs w:val="24"/>
        </w:rPr>
        <w:t xml:space="preserve">  Perhaps more interesting, almost all common errors and methods of combining data can be found on Google and there are many sites where experienced SQL programmers will help novices solve data transformation problems.</w:t>
      </w:r>
    </w:p>
    <w:p w:rsidR="00D7645E" w:rsidRPr="00A95C28" w:rsidRDefault="00D7645E" w:rsidP="00D7645E">
      <w:pPr>
        <w:pStyle w:val="Heading1"/>
      </w:pPr>
      <w:bookmarkStart w:id="4" w:name="_Toc359659832"/>
      <w:r w:rsidRPr="00A46A91">
        <w:t>Study Design and Methods</w:t>
      </w:r>
      <w:bookmarkEnd w:id="4"/>
      <w:r w:rsidRPr="00A46A91">
        <w:t xml:space="preserve"> </w:t>
      </w:r>
    </w:p>
    <w:p w:rsidR="00D7645E" w:rsidRDefault="005B2A79" w:rsidP="00D7645E">
      <w:pPr>
        <w:pStyle w:val="TextTimesRom11"/>
        <w:tabs>
          <w:tab w:val="left" w:pos="1701"/>
          <w:tab w:val="left" w:pos="4678"/>
        </w:tabs>
        <w:spacing w:after="120" w:line="276" w:lineRule="auto"/>
        <w:ind w:left="0" w:firstLine="720"/>
        <w:rPr>
          <w:sz w:val="24"/>
          <w:szCs w:val="24"/>
        </w:rPr>
      </w:pPr>
      <w:r>
        <w:rPr>
          <w:sz w:val="24"/>
          <w:szCs w:val="24"/>
        </w:rPr>
        <w:t>In observational studies</w:t>
      </w:r>
      <w:r w:rsidR="00810AB7">
        <w:rPr>
          <w:sz w:val="24"/>
          <w:szCs w:val="24"/>
        </w:rPr>
        <w:t>,</w:t>
      </w:r>
      <w:r>
        <w:rPr>
          <w:sz w:val="24"/>
          <w:szCs w:val="24"/>
        </w:rPr>
        <w:t xml:space="preserve"> such as studies of data in electronic health record, there is no random assignment of patients to groups.  The observed outcomes may be due to patients’ conditions and not related to treatment.  A matched case control study provides a comparison group for patients who have received the treatment and thus reduces the possibility of erroneous attributions.  </w:t>
      </w:r>
    </w:p>
    <w:p w:rsidR="00A35371" w:rsidRDefault="00A35371" w:rsidP="00D7645E">
      <w:pPr>
        <w:pStyle w:val="TextTimesRom11"/>
        <w:tabs>
          <w:tab w:val="left" w:pos="1701"/>
          <w:tab w:val="left" w:pos="4678"/>
        </w:tabs>
        <w:spacing w:after="120" w:line="276" w:lineRule="auto"/>
        <w:ind w:left="0" w:firstLine="720"/>
        <w:rPr>
          <w:sz w:val="24"/>
          <w:szCs w:val="24"/>
        </w:rPr>
      </w:pPr>
      <w:r>
        <w:rPr>
          <w:sz w:val="24"/>
          <w:szCs w:val="24"/>
        </w:rPr>
        <w:t xml:space="preserve">The approach </w:t>
      </w:r>
      <w:r w:rsidRPr="00DC14B5">
        <w:rPr>
          <w:sz w:val="24"/>
          <w:szCs w:val="24"/>
        </w:rPr>
        <w:t>taken in case control studies has a long history. One of the earlie</w:t>
      </w:r>
      <w:r w:rsidR="00B27332" w:rsidRPr="00DC14B5">
        <w:rPr>
          <w:sz w:val="24"/>
          <w:szCs w:val="24"/>
        </w:rPr>
        <w:t>st example</w:t>
      </w:r>
      <w:r w:rsidR="006B4980" w:rsidRPr="00DC14B5">
        <w:rPr>
          <w:sz w:val="24"/>
          <w:szCs w:val="24"/>
        </w:rPr>
        <w:t>s</w:t>
      </w:r>
      <w:r w:rsidRPr="00DC14B5">
        <w:rPr>
          <w:sz w:val="24"/>
          <w:szCs w:val="24"/>
        </w:rPr>
        <w:t xml:space="preserve"> comes from the famous 1854 cholera epidemic in London in which it was demonstrated that </w:t>
      </w:r>
      <w:r w:rsidR="00B27332" w:rsidRPr="00DC14B5">
        <w:rPr>
          <w:sz w:val="24"/>
          <w:szCs w:val="24"/>
        </w:rPr>
        <w:t>most of those who died drew water from the same Broad Street pump</w:t>
      </w:r>
      <w:r w:rsidR="00487545">
        <w:rPr>
          <w:sz w:val="24"/>
          <w:szCs w:val="24"/>
        </w:rPr>
        <w:t xml:space="preserve"> </w:t>
      </w:r>
      <w:r w:rsidR="00A67D97">
        <w:rPr>
          <w:sz w:val="24"/>
          <w:szCs w:val="24"/>
        </w:rPr>
        <w:t>[</w:t>
      </w:r>
      <w:r w:rsidR="00A67D97">
        <w:rPr>
          <w:rStyle w:val="EndnoteReference"/>
          <w:sz w:val="24"/>
          <w:szCs w:val="24"/>
        </w:rPr>
        <w:endnoteReference w:id="7"/>
      </w:r>
      <w:r w:rsidR="00A67D97">
        <w:rPr>
          <w:sz w:val="24"/>
          <w:szCs w:val="24"/>
        </w:rPr>
        <w:t>]</w:t>
      </w:r>
      <w:r w:rsidR="00DC14B5">
        <w:rPr>
          <w:sz w:val="24"/>
          <w:szCs w:val="24"/>
        </w:rPr>
        <w:t>.</w:t>
      </w:r>
      <w:r w:rsidR="006B4980" w:rsidRPr="00DC14B5">
        <w:rPr>
          <w:sz w:val="24"/>
          <w:szCs w:val="24"/>
        </w:rPr>
        <w:t xml:space="preserve">  </w:t>
      </w:r>
      <w:r w:rsidR="00EC1BDF" w:rsidRPr="00DC14B5">
        <w:rPr>
          <w:sz w:val="24"/>
          <w:szCs w:val="24"/>
        </w:rPr>
        <w:t>The</w:t>
      </w:r>
      <w:r w:rsidR="008C239B" w:rsidRPr="00DC14B5">
        <w:rPr>
          <w:sz w:val="24"/>
          <w:szCs w:val="24"/>
        </w:rPr>
        <w:t xml:space="preserve"> approach</w:t>
      </w:r>
      <w:r w:rsidR="00EC1BDF" w:rsidRPr="00DC14B5">
        <w:rPr>
          <w:sz w:val="24"/>
          <w:szCs w:val="24"/>
        </w:rPr>
        <w:t xml:space="preserve"> was used in several studies in the 1920s but truly came to prominence in the 1950s with studies that demonstrated the </w:t>
      </w:r>
      <w:r w:rsidR="003B2870" w:rsidRPr="00DC14B5">
        <w:rPr>
          <w:sz w:val="24"/>
          <w:szCs w:val="24"/>
        </w:rPr>
        <w:t>unexpected</w:t>
      </w:r>
      <w:r w:rsidR="008C239B" w:rsidRPr="00DC14B5">
        <w:rPr>
          <w:sz w:val="24"/>
          <w:szCs w:val="24"/>
        </w:rPr>
        <w:t xml:space="preserve"> </w:t>
      </w:r>
      <w:r w:rsidR="00EC1BDF" w:rsidRPr="00DC14B5">
        <w:rPr>
          <w:sz w:val="24"/>
          <w:szCs w:val="24"/>
        </w:rPr>
        <w:t xml:space="preserve">relationship between smoking and cancer. </w:t>
      </w:r>
      <w:r w:rsidR="00A67D97">
        <w:rPr>
          <w:sz w:val="24"/>
          <w:szCs w:val="24"/>
        </w:rPr>
        <w:t>[</w:t>
      </w:r>
      <w:r w:rsidR="00A67D97">
        <w:rPr>
          <w:rStyle w:val="EndnoteReference"/>
          <w:sz w:val="24"/>
          <w:szCs w:val="24"/>
        </w:rPr>
        <w:endnoteReference w:id="8"/>
      </w:r>
      <w:r w:rsidR="00A67D97">
        <w:rPr>
          <w:sz w:val="24"/>
          <w:szCs w:val="24"/>
        </w:rPr>
        <w:t>]</w:t>
      </w:r>
      <w:r w:rsidR="00EC1BDF">
        <w:rPr>
          <w:sz w:val="24"/>
          <w:szCs w:val="24"/>
        </w:rPr>
        <w:t xml:space="preserve"> </w:t>
      </w:r>
      <w:r w:rsidR="00FB0029">
        <w:rPr>
          <w:sz w:val="24"/>
          <w:szCs w:val="24"/>
        </w:rPr>
        <w:t xml:space="preserve">These days, the use of matched case control studies in analysis of data from electronic health records is common.  </w:t>
      </w:r>
    </w:p>
    <w:p w:rsidR="00D7645E" w:rsidRDefault="00D7645E" w:rsidP="00D7645E">
      <w:pPr>
        <w:pStyle w:val="Heading2"/>
      </w:pPr>
      <w:bookmarkStart w:id="5" w:name="_Toc359659833"/>
      <w:r w:rsidRPr="00B71953">
        <w:t xml:space="preserve">Definition of </w:t>
      </w:r>
      <w:r>
        <w:t>C</w:t>
      </w:r>
      <w:r w:rsidRPr="00B71953">
        <w:t>ases</w:t>
      </w:r>
      <w:r>
        <w:t xml:space="preserve"> and Controls</w:t>
      </w:r>
      <w:bookmarkEnd w:id="5"/>
    </w:p>
    <w:p w:rsidR="00D7645E" w:rsidRPr="00DC14B5"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Patients who have received the intervention are referred </w:t>
      </w:r>
      <w:r w:rsidRPr="00DC14B5">
        <w:rPr>
          <w:sz w:val="24"/>
          <w:szCs w:val="24"/>
        </w:rPr>
        <w:t xml:space="preserve">to as </w:t>
      </w:r>
      <w:r w:rsidR="00DC14B5">
        <w:rPr>
          <w:sz w:val="24"/>
          <w:szCs w:val="24"/>
        </w:rPr>
        <w:t>“</w:t>
      </w:r>
      <w:r w:rsidRPr="00DC14B5">
        <w:rPr>
          <w:sz w:val="24"/>
          <w:szCs w:val="24"/>
        </w:rPr>
        <w:t>cases.</w:t>
      </w:r>
      <w:r w:rsidR="00DC14B5">
        <w:rPr>
          <w:sz w:val="24"/>
          <w:szCs w:val="24"/>
        </w:rPr>
        <w:t>”</w:t>
      </w:r>
      <w:r w:rsidRPr="00DC14B5">
        <w:rPr>
          <w:sz w:val="24"/>
          <w:szCs w:val="24"/>
        </w:rPr>
        <w:t xml:space="preserve">  Patients who did not receive the intervention are referred to as </w:t>
      </w:r>
      <w:r w:rsidR="00DC14B5">
        <w:rPr>
          <w:sz w:val="24"/>
          <w:szCs w:val="24"/>
        </w:rPr>
        <w:t>“</w:t>
      </w:r>
      <w:r w:rsidRPr="00DC14B5">
        <w:rPr>
          <w:sz w:val="24"/>
          <w:szCs w:val="24"/>
        </w:rPr>
        <w:t>controls.</w:t>
      </w:r>
      <w:r w:rsidR="00DC14B5">
        <w:rPr>
          <w:sz w:val="24"/>
          <w:szCs w:val="24"/>
        </w:rPr>
        <w:t>”</w:t>
      </w:r>
      <w:r w:rsidRPr="00DC14B5">
        <w:rPr>
          <w:sz w:val="24"/>
          <w:szCs w:val="24"/>
        </w:rPr>
        <w:t xml:space="preserve">  For example, patients who were admitted to the Medical Foster Home program (an alternative to nursing home care) may be considered cases and patients in the traditional nursing home program may be considered controls.  </w:t>
      </w:r>
      <w:r w:rsidR="00DC14B5">
        <w:rPr>
          <w:sz w:val="24"/>
          <w:szCs w:val="24"/>
        </w:rPr>
        <w:t xml:space="preserve">The medical foster home allows patients to rent their own room in a community home while receiving medical and social services from the Veteran Administration in this community setting.  </w:t>
      </w:r>
    </w:p>
    <w:p w:rsidR="00D7645E" w:rsidRDefault="00DC14B5" w:rsidP="00DC14B5">
      <w:pPr>
        <w:pStyle w:val="TextTimesRom11"/>
        <w:tabs>
          <w:tab w:val="left" w:pos="1701"/>
          <w:tab w:val="left" w:pos="4678"/>
        </w:tabs>
        <w:spacing w:after="120" w:line="276" w:lineRule="auto"/>
        <w:ind w:left="0" w:firstLine="720"/>
      </w:pPr>
      <w:r>
        <w:rPr>
          <w:sz w:val="24"/>
          <w:szCs w:val="24"/>
        </w:rPr>
        <w:t>The identification of cases in a medical record is problematic as these databases report utilization of services and not necessarily participation in a program or need for care.  There are at least two methods of identifying a case.  First, a</w:t>
      </w:r>
      <w:r w:rsidR="00D46BF2" w:rsidRPr="00DC14B5">
        <w:rPr>
          <w:sz w:val="24"/>
          <w:szCs w:val="24"/>
        </w:rPr>
        <w:t xml:space="preserve"> case </w:t>
      </w:r>
      <w:r>
        <w:rPr>
          <w:sz w:val="24"/>
          <w:szCs w:val="24"/>
        </w:rPr>
        <w:t xml:space="preserve">could be </w:t>
      </w:r>
      <w:r w:rsidR="00D46BF2" w:rsidRPr="00DC14B5">
        <w:rPr>
          <w:sz w:val="24"/>
          <w:szCs w:val="24"/>
        </w:rPr>
        <w:t>identified</w:t>
      </w:r>
      <w:r w:rsidR="00C951C0" w:rsidRPr="00DC14B5">
        <w:rPr>
          <w:sz w:val="24"/>
          <w:szCs w:val="24"/>
        </w:rPr>
        <w:t xml:space="preserve"> </w:t>
      </w:r>
      <w:r>
        <w:rPr>
          <w:sz w:val="24"/>
          <w:szCs w:val="24"/>
        </w:rPr>
        <w:t xml:space="preserve">by examining the medical record for </w:t>
      </w:r>
      <w:r w:rsidR="00C951C0" w:rsidRPr="00DC14B5">
        <w:rPr>
          <w:sz w:val="24"/>
          <w:szCs w:val="24"/>
        </w:rPr>
        <w:t xml:space="preserve">a unique clinical event of interest.  </w:t>
      </w:r>
      <w:r w:rsidR="00D46BF2" w:rsidRPr="00DC14B5">
        <w:rPr>
          <w:sz w:val="24"/>
          <w:szCs w:val="24"/>
        </w:rPr>
        <w:t xml:space="preserve"> </w:t>
      </w:r>
      <w:r w:rsidR="00C951C0" w:rsidRPr="00DC14B5">
        <w:rPr>
          <w:sz w:val="24"/>
          <w:szCs w:val="24"/>
        </w:rPr>
        <w:t>A</w:t>
      </w:r>
      <w:r>
        <w:rPr>
          <w:sz w:val="24"/>
          <w:szCs w:val="24"/>
        </w:rPr>
        <w:t xml:space="preserve"> clinical event </w:t>
      </w:r>
      <w:r w:rsidR="00C951C0" w:rsidRPr="00DC14B5">
        <w:rPr>
          <w:sz w:val="24"/>
          <w:szCs w:val="24"/>
        </w:rPr>
        <w:t xml:space="preserve">could be a physician office visit, an inpatient admission, or an </w:t>
      </w:r>
      <w:r>
        <w:rPr>
          <w:sz w:val="24"/>
          <w:szCs w:val="24"/>
        </w:rPr>
        <w:t>e</w:t>
      </w:r>
      <w:r w:rsidR="00C951C0" w:rsidRPr="00DC14B5">
        <w:rPr>
          <w:sz w:val="24"/>
          <w:szCs w:val="24"/>
        </w:rPr>
        <w:t xml:space="preserve">mergency room visit.  For a study of </w:t>
      </w:r>
      <w:r>
        <w:rPr>
          <w:sz w:val="24"/>
          <w:szCs w:val="24"/>
        </w:rPr>
        <w:t>heart failure</w:t>
      </w:r>
      <w:r w:rsidR="00C951C0" w:rsidRPr="00DC14B5">
        <w:rPr>
          <w:sz w:val="24"/>
          <w:szCs w:val="24"/>
        </w:rPr>
        <w:t xml:space="preserve">, </w:t>
      </w:r>
      <w:r>
        <w:rPr>
          <w:sz w:val="24"/>
          <w:szCs w:val="24"/>
        </w:rPr>
        <w:t xml:space="preserve">for example, </w:t>
      </w:r>
      <w:r w:rsidR="00C951C0" w:rsidRPr="00DC14B5">
        <w:rPr>
          <w:sz w:val="24"/>
          <w:szCs w:val="24"/>
        </w:rPr>
        <w:t xml:space="preserve">a clinical event could be an initial </w:t>
      </w:r>
      <w:r>
        <w:rPr>
          <w:sz w:val="24"/>
          <w:szCs w:val="24"/>
        </w:rPr>
        <w:t>congestive heart failure</w:t>
      </w:r>
      <w:r w:rsidR="00C951C0" w:rsidRPr="00DC14B5">
        <w:rPr>
          <w:sz w:val="24"/>
          <w:szCs w:val="24"/>
        </w:rPr>
        <w:t>.</w:t>
      </w:r>
      <w:r>
        <w:rPr>
          <w:sz w:val="24"/>
          <w:szCs w:val="24"/>
        </w:rPr>
        <w:t xml:space="preserve">  </w:t>
      </w:r>
      <w:r w:rsidR="00D7645E">
        <w:rPr>
          <w:sz w:val="24"/>
          <w:szCs w:val="24"/>
        </w:rPr>
        <w:t xml:space="preserve">Typically these events are defined </w:t>
      </w:r>
      <w:r w:rsidR="00E64CEA">
        <w:rPr>
          <w:sz w:val="24"/>
          <w:szCs w:val="24"/>
        </w:rPr>
        <w:t>using codified nomenclatures such as the International Classification of Diseases (ICD-9/10).</w:t>
      </w:r>
      <w:r w:rsidR="00D7645E">
        <w:rPr>
          <w:sz w:val="24"/>
          <w:szCs w:val="24"/>
        </w:rPr>
        <w:t xml:space="preserve"> The </w:t>
      </w:r>
      <w:r w:rsidR="00D7645E" w:rsidRPr="007970CB">
        <w:rPr>
          <w:sz w:val="24"/>
          <w:szCs w:val="24"/>
        </w:rPr>
        <w:t xml:space="preserve">Healthcare Cost &amp; Utilization Project of the Agency for Healthcare Research and Quality </w:t>
      </w:r>
      <w:r w:rsidR="00D7645E">
        <w:rPr>
          <w:sz w:val="24"/>
          <w:szCs w:val="24"/>
        </w:rPr>
        <w:t>has defined how various diagnoses codes correspond to common disease categories [</w:t>
      </w:r>
      <w:r w:rsidR="00D7645E" w:rsidRPr="007970CB">
        <w:rPr>
          <w:sz w:val="24"/>
          <w:szCs w:val="24"/>
          <w:vertAlign w:val="superscript"/>
        </w:rPr>
        <w:endnoteReference w:id="9"/>
      </w:r>
      <w:r w:rsidR="00D7645E">
        <w:rPr>
          <w:sz w:val="24"/>
          <w:szCs w:val="24"/>
        </w:rPr>
        <w:t xml:space="preserve">].  For example, heart failure </w:t>
      </w:r>
      <w:r w:rsidR="00E64CEA">
        <w:rPr>
          <w:sz w:val="24"/>
          <w:szCs w:val="24"/>
        </w:rPr>
        <w:t>can have one of</w:t>
      </w:r>
      <w:r w:rsidR="00D7645E">
        <w:rPr>
          <w:sz w:val="24"/>
          <w:szCs w:val="24"/>
        </w:rPr>
        <w:t xml:space="preserve"> the following</w:t>
      </w:r>
      <w:r w:rsidR="00D7645E" w:rsidRPr="007970CB">
        <w:rPr>
          <w:sz w:val="24"/>
          <w:szCs w:val="24"/>
        </w:rPr>
        <w:t xml:space="preserve"> </w:t>
      </w:r>
      <w:r w:rsidR="00E64CEA">
        <w:rPr>
          <w:sz w:val="24"/>
          <w:szCs w:val="24"/>
        </w:rPr>
        <w:t>ICD-9</w:t>
      </w:r>
      <w:r w:rsidR="004D45FF">
        <w:rPr>
          <w:sz w:val="24"/>
          <w:szCs w:val="24"/>
        </w:rPr>
        <w:t xml:space="preserve"> </w:t>
      </w:r>
      <w:r w:rsidR="00D7645E" w:rsidRPr="007970CB">
        <w:rPr>
          <w:sz w:val="24"/>
          <w:szCs w:val="24"/>
        </w:rPr>
        <w:t>codes</w:t>
      </w:r>
      <w:r w:rsidR="00D7645E">
        <w:rPr>
          <w:sz w:val="24"/>
          <w:szCs w:val="24"/>
        </w:rPr>
        <w:t>:</w:t>
      </w:r>
      <w:r w:rsidR="00D7645E" w:rsidRPr="007970CB">
        <w:rPr>
          <w:sz w:val="24"/>
          <w:szCs w:val="24"/>
        </w:rPr>
        <w:t xml:space="preserve"> 402.01, 402.11, </w:t>
      </w:r>
      <w:proofErr w:type="gramStart"/>
      <w:r w:rsidR="00D7645E" w:rsidRPr="007970CB">
        <w:rPr>
          <w:sz w:val="24"/>
          <w:szCs w:val="24"/>
        </w:rPr>
        <w:t>402.91</w:t>
      </w:r>
      <w:proofErr w:type="gramEnd"/>
      <w:r w:rsidR="00D7645E" w:rsidRPr="007970CB">
        <w:rPr>
          <w:sz w:val="24"/>
          <w:szCs w:val="24"/>
        </w:rPr>
        <w:t xml:space="preserve">. </w:t>
      </w:r>
      <w:proofErr w:type="gramStart"/>
      <w:r w:rsidR="00D7645E" w:rsidRPr="007970CB">
        <w:rPr>
          <w:sz w:val="24"/>
          <w:szCs w:val="24"/>
        </w:rPr>
        <w:t xml:space="preserve">425.1, 425.4, 425.5, 425.7, 425.8, 425.9, 428.0, 428.1, 428.2, </w:t>
      </w:r>
      <w:r w:rsidR="00D7645E" w:rsidRPr="00455988">
        <w:rPr>
          <w:sz w:val="24"/>
          <w:szCs w:val="24"/>
        </w:rPr>
        <w:t>428.21, 428.22, 428.23, 428.3, 428.31, 428.32, 428.33, 428.4, 428.41, 428.42, 428.43, or 428.9.</w:t>
      </w:r>
      <w:proofErr w:type="gramEnd"/>
      <w:r w:rsidR="00D7645E" w:rsidRPr="00455988">
        <w:rPr>
          <w:sz w:val="24"/>
          <w:szCs w:val="24"/>
        </w:rPr>
        <w:t xml:space="preserve">  Other examples include falls [</w:t>
      </w:r>
      <w:r w:rsidR="00D7645E" w:rsidRPr="00455988">
        <w:rPr>
          <w:rStyle w:val="EndnoteReference"/>
          <w:sz w:val="24"/>
          <w:szCs w:val="24"/>
          <w:vertAlign w:val="baseline"/>
        </w:rPr>
        <w:endnoteReference w:id="10"/>
      </w:r>
      <w:r w:rsidR="00D7645E" w:rsidRPr="00455988">
        <w:rPr>
          <w:sz w:val="24"/>
          <w:szCs w:val="24"/>
        </w:rPr>
        <w:t>], injuries [</w:t>
      </w:r>
      <w:r w:rsidR="00D7645E" w:rsidRPr="00455988">
        <w:rPr>
          <w:rStyle w:val="EndnoteReference"/>
          <w:sz w:val="24"/>
          <w:szCs w:val="24"/>
          <w:vertAlign w:val="baseline"/>
        </w:rPr>
        <w:endnoteReference w:id="11"/>
      </w:r>
      <w:r w:rsidR="00D7645E" w:rsidRPr="00455988">
        <w:rPr>
          <w:sz w:val="24"/>
          <w:szCs w:val="24"/>
        </w:rPr>
        <w:t>], medication errors [</w:t>
      </w:r>
      <w:r w:rsidR="00D7645E" w:rsidRPr="00455988">
        <w:rPr>
          <w:rStyle w:val="EndnoteReference"/>
          <w:sz w:val="24"/>
          <w:szCs w:val="24"/>
          <w:vertAlign w:val="baseline"/>
        </w:rPr>
        <w:endnoteReference w:id="12"/>
      </w:r>
      <w:r w:rsidR="00D7645E" w:rsidRPr="00455988">
        <w:rPr>
          <w:sz w:val="24"/>
          <w:szCs w:val="24"/>
        </w:rPr>
        <w:t>], mood and anxiety problems [</w:t>
      </w:r>
      <w:r w:rsidR="00D7645E" w:rsidRPr="00455988">
        <w:rPr>
          <w:rStyle w:val="EndnoteReference"/>
          <w:sz w:val="24"/>
          <w:szCs w:val="24"/>
          <w:vertAlign w:val="baseline"/>
        </w:rPr>
        <w:endnoteReference w:id="13"/>
      </w:r>
      <w:r w:rsidR="00D7645E" w:rsidRPr="00455988">
        <w:rPr>
          <w:sz w:val="24"/>
          <w:szCs w:val="24"/>
        </w:rPr>
        <w:t>], and hospitalization encounters.</w:t>
      </w:r>
      <w:r w:rsidR="00D7645E">
        <w:t xml:space="preserve">  </w:t>
      </w:r>
    </w:p>
    <w:p w:rsidR="00DC14B5" w:rsidRDefault="00DC14B5" w:rsidP="006A1DC7">
      <w:pPr>
        <w:pStyle w:val="TextTimesRom11"/>
        <w:tabs>
          <w:tab w:val="left" w:pos="1701"/>
          <w:tab w:val="left" w:pos="4678"/>
        </w:tabs>
        <w:spacing w:after="120" w:line="276" w:lineRule="auto"/>
        <w:ind w:left="0" w:firstLine="720"/>
        <w:rPr>
          <w:sz w:val="24"/>
          <w:szCs w:val="24"/>
        </w:rPr>
      </w:pPr>
      <w:r>
        <w:rPr>
          <w:sz w:val="24"/>
          <w:szCs w:val="24"/>
        </w:rPr>
        <w:t xml:space="preserve">Second, a case could be </w:t>
      </w:r>
      <w:r w:rsidRPr="00DC14B5">
        <w:rPr>
          <w:sz w:val="24"/>
          <w:szCs w:val="24"/>
        </w:rPr>
        <w:t>identif</w:t>
      </w:r>
      <w:r>
        <w:rPr>
          <w:sz w:val="24"/>
          <w:szCs w:val="24"/>
        </w:rPr>
        <w:t xml:space="preserve">ied by examining admission to a program.  For example, in the Medical Foster Home project, the providers gave the evaluators list of patients </w:t>
      </w:r>
      <w:r w:rsidR="00611622">
        <w:rPr>
          <w:sz w:val="24"/>
          <w:szCs w:val="24"/>
        </w:rPr>
        <w:t>they</w:t>
      </w:r>
      <w:r>
        <w:rPr>
          <w:sz w:val="24"/>
          <w:szCs w:val="24"/>
        </w:rPr>
        <w:t xml:space="preserve"> had cared</w:t>
      </w:r>
      <w:r w:rsidR="00611622">
        <w:rPr>
          <w:sz w:val="24"/>
          <w:szCs w:val="24"/>
        </w:rPr>
        <w:t xml:space="preserve"> for</w:t>
      </w:r>
      <w:r w:rsidR="009D196F">
        <w:rPr>
          <w:sz w:val="24"/>
          <w:szCs w:val="24"/>
        </w:rPr>
        <w:t xml:space="preserve">.  Patients’ </w:t>
      </w:r>
      <w:r>
        <w:rPr>
          <w:sz w:val="24"/>
          <w:szCs w:val="24"/>
        </w:rPr>
        <w:t xml:space="preserve">social security numbers were used to identify them within the electronic health record.  </w:t>
      </w:r>
      <w:r w:rsidR="00611622">
        <w:rPr>
          <w:sz w:val="24"/>
          <w:szCs w:val="24"/>
        </w:rPr>
        <w:t>These patients were compared to patients in nursing homes, as medical foster home is an alternative to nursing home care.  Nursing home patients were identified through a</w:t>
      </w:r>
      <w:r w:rsidR="009D196F">
        <w:rPr>
          <w:sz w:val="24"/>
          <w:szCs w:val="24"/>
        </w:rPr>
        <w:t xml:space="preserve">dmission </w:t>
      </w:r>
      <w:r w:rsidR="00611622">
        <w:rPr>
          <w:sz w:val="24"/>
          <w:szCs w:val="24"/>
        </w:rPr>
        <w:t xml:space="preserve">and discharge dates for </w:t>
      </w:r>
      <w:r w:rsidR="009D196F">
        <w:rPr>
          <w:sz w:val="24"/>
          <w:szCs w:val="24"/>
        </w:rPr>
        <w:t>the nursing home</w:t>
      </w:r>
      <w:r w:rsidR="00611622">
        <w:rPr>
          <w:sz w:val="24"/>
          <w:szCs w:val="24"/>
        </w:rPr>
        <w:t>, information available in the medical record of the patients</w:t>
      </w:r>
      <w:r w:rsidR="009D196F">
        <w:rPr>
          <w:sz w:val="24"/>
          <w:szCs w:val="24"/>
        </w:rPr>
        <w:t>.</w:t>
      </w:r>
    </w:p>
    <w:p w:rsidR="00101AC0" w:rsidRDefault="009D196F" w:rsidP="00101AC0">
      <w:pPr>
        <w:pStyle w:val="Heading2"/>
      </w:pPr>
      <w:r>
        <w:t xml:space="preserve">Measurement of </w:t>
      </w:r>
      <w:r w:rsidR="00101AC0">
        <w:t>Exposure to Treatment</w:t>
      </w:r>
    </w:p>
    <w:p w:rsidR="00D7645E" w:rsidRPr="00C638E2"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In defining cases and controls, attention should be paid on the extent of exposure to the intervention.  A sufficient exposure should be allowed so that the change in outcomes can be expected.  For example, the day after enrollment in a Medical Foster Home </w:t>
      </w:r>
      <w:r w:rsidR="00E72514">
        <w:rPr>
          <w:sz w:val="24"/>
          <w:szCs w:val="24"/>
        </w:rPr>
        <w:t>(MFH)</w:t>
      </w:r>
      <w:r w:rsidR="00D46BF2">
        <w:rPr>
          <w:sz w:val="24"/>
          <w:szCs w:val="24"/>
        </w:rPr>
        <w:t xml:space="preserve"> </w:t>
      </w:r>
      <w:r>
        <w:rPr>
          <w:sz w:val="24"/>
          <w:szCs w:val="24"/>
        </w:rPr>
        <w:t xml:space="preserve">care one cannot expect any changes in patient outcomes.  A person enrolled for one day is not considered to receive the full benefit of enrollment.  Sometimes, patients enroll and </w:t>
      </w:r>
      <w:proofErr w:type="spellStart"/>
      <w:r>
        <w:rPr>
          <w:sz w:val="24"/>
          <w:szCs w:val="24"/>
        </w:rPr>
        <w:t>dis</w:t>
      </w:r>
      <w:proofErr w:type="spellEnd"/>
      <w:r w:rsidR="00C30E80">
        <w:rPr>
          <w:sz w:val="24"/>
          <w:szCs w:val="24"/>
        </w:rPr>
        <w:t>-</w:t>
      </w:r>
      <w:r>
        <w:rPr>
          <w:sz w:val="24"/>
          <w:szCs w:val="24"/>
        </w:rPr>
        <w:t xml:space="preserve">enroll shortly afterwards.  We assume that 3 months of enrollment is necessary before the </w:t>
      </w:r>
      <w:r w:rsidRPr="00C638E2">
        <w:rPr>
          <w:sz w:val="24"/>
          <w:szCs w:val="24"/>
        </w:rPr>
        <w:t>patient is considered to be a Medical Foster Home patient.  A similar timeframe is used for controls in nursing homes.  This exclude</w:t>
      </w:r>
      <w:r w:rsidR="004D45FF" w:rsidRPr="00C638E2">
        <w:rPr>
          <w:sz w:val="24"/>
          <w:szCs w:val="24"/>
        </w:rPr>
        <w:t>s</w:t>
      </w:r>
      <w:r w:rsidRPr="00C638E2">
        <w:rPr>
          <w:sz w:val="24"/>
          <w:szCs w:val="24"/>
        </w:rPr>
        <w:t xml:space="preserve"> short stays </w:t>
      </w:r>
      <w:r w:rsidR="004D45FF" w:rsidRPr="00C638E2">
        <w:rPr>
          <w:sz w:val="24"/>
          <w:szCs w:val="24"/>
        </w:rPr>
        <w:t xml:space="preserve">– those </w:t>
      </w:r>
      <w:r w:rsidRPr="00C638E2">
        <w:rPr>
          <w:sz w:val="24"/>
          <w:szCs w:val="24"/>
        </w:rPr>
        <w:t xml:space="preserve">that reside in nursing homes for less than three months.    </w:t>
      </w:r>
    </w:p>
    <w:p w:rsidR="00332B6A" w:rsidRDefault="00D7645E" w:rsidP="00D7645E">
      <w:pPr>
        <w:pStyle w:val="TextTimesRom11"/>
        <w:tabs>
          <w:tab w:val="left" w:pos="1701"/>
          <w:tab w:val="left" w:pos="4678"/>
        </w:tabs>
        <w:spacing w:after="120" w:line="276" w:lineRule="auto"/>
        <w:ind w:left="0" w:firstLine="720"/>
        <w:rPr>
          <w:sz w:val="24"/>
          <w:szCs w:val="24"/>
        </w:rPr>
      </w:pPr>
      <w:r w:rsidRPr="00C638E2">
        <w:rPr>
          <w:sz w:val="24"/>
          <w:szCs w:val="24"/>
        </w:rPr>
        <w:t xml:space="preserve">Some patients receive both the intervention and the control programs.  For example, a patient may enroll for MFH at first but after months of enrollment leave it for care in </w:t>
      </w:r>
      <w:r w:rsidR="00332B6A" w:rsidRPr="00C638E2">
        <w:rPr>
          <w:sz w:val="24"/>
          <w:szCs w:val="24"/>
        </w:rPr>
        <w:t xml:space="preserve">a </w:t>
      </w:r>
      <w:r w:rsidRPr="00C638E2">
        <w:rPr>
          <w:sz w:val="24"/>
          <w:szCs w:val="24"/>
        </w:rPr>
        <w:t>nursing home.  Patient’s enrollment in the case or control group is for a specific time period.  Since the same patient has spent time in both groups</w:t>
      </w:r>
      <w:r w:rsidR="00E72514" w:rsidRPr="00C638E2">
        <w:rPr>
          <w:sz w:val="24"/>
          <w:szCs w:val="24"/>
        </w:rPr>
        <w:t xml:space="preserve"> they </w:t>
      </w:r>
      <w:r w:rsidR="0027773B">
        <w:rPr>
          <w:sz w:val="24"/>
          <w:szCs w:val="24"/>
        </w:rPr>
        <w:t xml:space="preserve">may appear to be </w:t>
      </w:r>
      <w:r w:rsidRPr="00C638E2">
        <w:rPr>
          <w:sz w:val="24"/>
          <w:szCs w:val="24"/>
        </w:rPr>
        <w:t>ideal match for themselves.  The case and control match many features, with one exception</w:t>
      </w:r>
      <w:r w:rsidR="00DF095F" w:rsidRPr="00C638E2">
        <w:rPr>
          <w:sz w:val="24"/>
          <w:szCs w:val="24"/>
        </w:rPr>
        <w:t xml:space="preserve"> - t</w:t>
      </w:r>
      <w:r w:rsidRPr="00C638E2">
        <w:rPr>
          <w:sz w:val="24"/>
          <w:szCs w:val="24"/>
        </w:rPr>
        <w:t xml:space="preserve">he case and control are examined in different timeframes.   </w:t>
      </w:r>
      <w:r w:rsidR="0027773B">
        <w:rPr>
          <w:sz w:val="24"/>
          <w:szCs w:val="24"/>
        </w:rPr>
        <w:t>Unfortunately, transition from one intervention to another is almost always accompanied with a major crisis that affects patient’s health.  In these situations, the same patient before and after has a different health status.  For example, i</w:t>
      </w:r>
      <w:r w:rsidR="00611622">
        <w:rPr>
          <w:sz w:val="24"/>
          <w:szCs w:val="24"/>
        </w:rPr>
        <w:t>n Figure 2, we see information on blood pressure of one patient.  For 7 years this patient was in a nursing home.  At end of the 7</w:t>
      </w:r>
      <w:r w:rsidR="00611622" w:rsidRPr="00611622">
        <w:rPr>
          <w:sz w:val="24"/>
          <w:szCs w:val="24"/>
          <w:vertAlign w:val="superscript"/>
        </w:rPr>
        <w:t>th</w:t>
      </w:r>
      <w:r w:rsidR="00611622">
        <w:rPr>
          <w:sz w:val="24"/>
          <w:szCs w:val="24"/>
        </w:rPr>
        <w:t xml:space="preserve"> year there was a hospitalization, shown as a circle.  Following this hospitalization the patient was discharged to the Medical Foster Home.  The blood pressure </w:t>
      </w:r>
      <w:r w:rsidR="0027773B">
        <w:rPr>
          <w:sz w:val="24"/>
          <w:szCs w:val="24"/>
        </w:rPr>
        <w:t>values during year 8 indicate</w:t>
      </w:r>
      <w:r w:rsidR="00611622">
        <w:rPr>
          <w:sz w:val="24"/>
          <w:szCs w:val="24"/>
        </w:rPr>
        <w:t xml:space="preserve"> the patient’s condition in the Medical Foster Home program.  The values immediately prior </w:t>
      </w:r>
      <w:r w:rsidR="0027773B">
        <w:rPr>
          <w:sz w:val="24"/>
          <w:szCs w:val="24"/>
        </w:rPr>
        <w:t xml:space="preserve">year 8 </w:t>
      </w:r>
      <w:r w:rsidR="00611622">
        <w:rPr>
          <w:sz w:val="24"/>
          <w:szCs w:val="24"/>
        </w:rPr>
        <w:t xml:space="preserve">indicate </w:t>
      </w:r>
      <w:r w:rsidR="0027773B">
        <w:rPr>
          <w:sz w:val="24"/>
          <w:szCs w:val="24"/>
        </w:rPr>
        <w:t xml:space="preserve">blood pressure when the patient was </w:t>
      </w:r>
      <w:r w:rsidR="00611622">
        <w:rPr>
          <w:sz w:val="24"/>
          <w:szCs w:val="24"/>
        </w:rPr>
        <w:t>in the nursing home.  The patient’s condition has worsened right before the transfer from nursing home to medical foster home program.  If we have an accurate measure of how much the patient’s condition has worsened, we can use this information to compare blood pressure before and after transfer.</w:t>
      </w:r>
      <w:r w:rsidR="0027773B">
        <w:rPr>
          <w:sz w:val="24"/>
          <w:szCs w:val="24"/>
        </w:rPr>
        <w:t xml:space="preserve"> Without it, we cannot compare the same patient at two different time</w:t>
      </w:r>
      <w:r w:rsidR="00701364">
        <w:rPr>
          <w:sz w:val="24"/>
          <w:szCs w:val="24"/>
        </w:rPr>
        <w:t>s</w:t>
      </w:r>
      <w:r w:rsidR="0027773B">
        <w:rPr>
          <w:sz w:val="24"/>
          <w:szCs w:val="24"/>
        </w:rPr>
        <w:t xml:space="preserve">.  </w:t>
      </w:r>
    </w:p>
    <w:p w:rsidR="00701364" w:rsidRDefault="00701364" w:rsidP="00701364">
      <w:pPr>
        <w:pStyle w:val="TextTimesRom11"/>
        <w:tabs>
          <w:tab w:val="left" w:pos="1701"/>
          <w:tab w:val="left" w:pos="4678"/>
        </w:tabs>
        <w:ind w:left="0"/>
        <w:jc w:val="center"/>
        <w:rPr>
          <w:b/>
          <w:sz w:val="24"/>
          <w:szCs w:val="24"/>
        </w:rPr>
      </w:pPr>
      <w:r>
        <w:rPr>
          <w:b/>
          <w:sz w:val="24"/>
          <w:szCs w:val="24"/>
        </w:rPr>
        <w:t>Figure 2</w:t>
      </w:r>
      <w:r w:rsidRPr="00B71953">
        <w:rPr>
          <w:b/>
          <w:sz w:val="24"/>
          <w:szCs w:val="24"/>
        </w:rPr>
        <w:t xml:space="preserve">: </w:t>
      </w:r>
      <w:r>
        <w:rPr>
          <w:b/>
          <w:sz w:val="24"/>
          <w:szCs w:val="24"/>
        </w:rPr>
        <w:t>Patient Transitions among Care Venues</w:t>
      </w:r>
    </w:p>
    <w:p w:rsidR="00332B6A" w:rsidRDefault="00332B6A" w:rsidP="00701364">
      <w:pPr>
        <w:pStyle w:val="TextTimesRom11"/>
        <w:tabs>
          <w:tab w:val="left" w:pos="1701"/>
          <w:tab w:val="left" w:pos="4678"/>
        </w:tabs>
        <w:ind w:left="0"/>
        <w:jc w:val="center"/>
        <w:rPr>
          <w:color w:val="FF0000"/>
          <w:sz w:val="24"/>
          <w:szCs w:val="24"/>
        </w:rPr>
      </w:pPr>
      <w:r w:rsidRPr="00332B6A">
        <w:rPr>
          <w:noProof/>
        </w:rPr>
        <w:drawing>
          <wp:inline distT="0" distB="0" distL="0" distR="0">
            <wp:extent cx="471805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0" cy="2324100"/>
                    </a:xfrm>
                    <a:prstGeom prst="rect">
                      <a:avLst/>
                    </a:prstGeom>
                    <a:noFill/>
                    <a:ln>
                      <a:noFill/>
                    </a:ln>
                  </pic:spPr>
                </pic:pic>
              </a:graphicData>
            </a:graphic>
          </wp:inline>
        </w:drawing>
      </w:r>
    </w:p>
    <w:p w:rsidR="00D7645E" w:rsidRDefault="00D7645E" w:rsidP="00D7645E">
      <w:pPr>
        <w:pStyle w:val="Heading2"/>
      </w:pPr>
      <w:bookmarkStart w:id="6" w:name="_Toc359659834"/>
      <w:r>
        <w:t>Enrollment and Observation Period</w:t>
      </w:r>
      <w:bookmarkEnd w:id="6"/>
    </w:p>
    <w:p w:rsidR="00D7645E" w:rsidRDefault="0088668A" w:rsidP="00D7645E">
      <w:pPr>
        <w:pStyle w:val="TextTimesRom11"/>
        <w:tabs>
          <w:tab w:val="left" w:pos="1701"/>
          <w:tab w:val="left" w:pos="4678"/>
        </w:tabs>
        <w:spacing w:after="120" w:line="276" w:lineRule="auto"/>
        <w:ind w:left="0" w:firstLine="720"/>
        <w:rPr>
          <w:sz w:val="24"/>
          <w:szCs w:val="24"/>
        </w:rPr>
      </w:pPr>
      <w:r>
        <w:rPr>
          <w:sz w:val="24"/>
          <w:szCs w:val="24"/>
        </w:rPr>
        <w:t>I</w:t>
      </w:r>
      <w:r w:rsidR="00D7645E">
        <w:rPr>
          <w:sz w:val="24"/>
          <w:szCs w:val="24"/>
        </w:rPr>
        <w:t>t is important to select an enrollment period that allows detection and selection of a la</w:t>
      </w:r>
      <w:r w:rsidR="00AD498D">
        <w:rPr>
          <w:sz w:val="24"/>
          <w:szCs w:val="24"/>
        </w:rPr>
        <w:t xml:space="preserve">rge group of patients.  </w:t>
      </w:r>
      <w:r w:rsidR="00600BD1">
        <w:rPr>
          <w:sz w:val="24"/>
          <w:szCs w:val="24"/>
        </w:rPr>
        <w:t xml:space="preserve">On the left side of </w:t>
      </w:r>
      <w:r w:rsidR="00AD498D">
        <w:rPr>
          <w:sz w:val="24"/>
          <w:szCs w:val="24"/>
        </w:rPr>
        <w:t>Figure 3</w:t>
      </w:r>
      <w:r w:rsidR="00600BD1">
        <w:rPr>
          <w:sz w:val="24"/>
          <w:szCs w:val="24"/>
        </w:rPr>
        <w:t xml:space="preserve">, </w:t>
      </w:r>
      <w:r w:rsidR="00D7645E">
        <w:rPr>
          <w:sz w:val="24"/>
          <w:szCs w:val="24"/>
        </w:rPr>
        <w:t>patients arriv</w:t>
      </w:r>
      <w:r w:rsidR="00600BD1">
        <w:rPr>
          <w:sz w:val="24"/>
          <w:szCs w:val="24"/>
        </w:rPr>
        <w:t>e</w:t>
      </w:r>
      <w:r w:rsidR="00D7645E">
        <w:rPr>
          <w:sz w:val="24"/>
          <w:szCs w:val="24"/>
        </w:rPr>
        <w:t xml:space="preserve"> at different time periods during the enrollment period.  Each patient is followed for a</w:t>
      </w:r>
      <w:r w:rsidR="00600BD1">
        <w:rPr>
          <w:sz w:val="24"/>
          <w:szCs w:val="24"/>
        </w:rPr>
        <w:t>n</w:t>
      </w:r>
      <w:r w:rsidR="00D7645E">
        <w:rPr>
          <w:sz w:val="24"/>
          <w:szCs w:val="24"/>
        </w:rPr>
        <w:t xml:space="preserve"> amount of time and their outcomes noted.  </w:t>
      </w:r>
      <w:r w:rsidR="00600BD1">
        <w:rPr>
          <w:sz w:val="24"/>
          <w:szCs w:val="24"/>
        </w:rPr>
        <w:t xml:space="preserve">To reduce variability in the enrollment date, enrollment periods are defined relative to an event, e.g. patient’s first visit during the enrollment period.  This allows the study to be described on “time since enrollment” as opposed to specific dates of enrollment.  The left side of Figure 3 shows a graph of data based on date of visits.  The right side of Figure 3 shows the same data based on time since first visit.  On the right side, we can see clearly that patients are followed for different intervals until the outcome of interest occurs.   </w:t>
      </w:r>
    </w:p>
    <w:p w:rsidR="00701364" w:rsidRDefault="00701364" w:rsidP="00701364">
      <w:pPr>
        <w:pStyle w:val="TextTimesRom11"/>
        <w:tabs>
          <w:tab w:val="left" w:pos="1701"/>
          <w:tab w:val="left" w:pos="4678"/>
        </w:tabs>
        <w:ind w:left="0"/>
        <w:jc w:val="center"/>
        <w:rPr>
          <w:sz w:val="24"/>
          <w:szCs w:val="24"/>
        </w:rPr>
      </w:pPr>
      <w:r>
        <w:rPr>
          <w:b/>
          <w:sz w:val="24"/>
          <w:szCs w:val="24"/>
        </w:rPr>
        <w:t>Figure 3</w:t>
      </w:r>
      <w:r w:rsidRPr="00B71953">
        <w:rPr>
          <w:b/>
          <w:sz w:val="24"/>
          <w:szCs w:val="24"/>
        </w:rPr>
        <w:t>: Enrollment on Specific Dates</w:t>
      </w:r>
      <w:r>
        <w:rPr>
          <w:b/>
          <w:sz w:val="24"/>
          <w:szCs w:val="24"/>
        </w:rPr>
        <w:br/>
      </w:r>
      <w:r w:rsidRPr="00455988">
        <w:rPr>
          <w:sz w:val="24"/>
          <w:szCs w:val="24"/>
        </w:rPr>
        <w:t>Numbers in the graph indicate patient IDs.</w:t>
      </w:r>
      <w:r>
        <w:rPr>
          <w:sz w:val="24"/>
          <w:szCs w:val="24"/>
        </w:rPr>
        <w:t xml:space="preserve"> </w:t>
      </w:r>
      <w:r w:rsidRPr="00455988">
        <w:rPr>
          <w:sz w:val="24"/>
          <w:szCs w:val="24"/>
        </w:rPr>
        <w:t xml:space="preserve">Letter “O” indicates timing of measurement of outcome.  </w:t>
      </w:r>
    </w:p>
    <w:p w:rsidR="00FB0029" w:rsidRPr="00455988" w:rsidRDefault="00FB0029" w:rsidP="00701364">
      <w:pPr>
        <w:pStyle w:val="TextTimesRom11"/>
        <w:tabs>
          <w:tab w:val="left" w:pos="1701"/>
          <w:tab w:val="left" w:pos="4678"/>
        </w:tabs>
        <w:ind w:left="0"/>
        <w:jc w:val="center"/>
        <w:rPr>
          <w:sz w:val="24"/>
          <w:szCs w:val="24"/>
        </w:rPr>
      </w:pPr>
      <w:r>
        <w:rPr>
          <w:bCs w:val="0"/>
          <w:noProof/>
          <w:szCs w:val="24"/>
        </w:rPr>
        <w:drawing>
          <wp:inline distT="0" distB="0" distL="0" distR="0">
            <wp:extent cx="6116200" cy="134620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1627" t="32063" r="21131" b="47778"/>
                    <a:stretch>
                      <a:fillRect/>
                    </a:stretch>
                  </pic:blipFill>
                  <pic:spPr bwMode="auto">
                    <a:xfrm>
                      <a:off x="0" y="0"/>
                      <a:ext cx="6116200" cy="1346200"/>
                    </a:xfrm>
                    <a:prstGeom prst="rect">
                      <a:avLst/>
                    </a:prstGeom>
                    <a:noFill/>
                    <a:ln w="9525">
                      <a:noFill/>
                      <a:miter lim="800000"/>
                      <a:headEnd/>
                      <a:tailEnd/>
                    </a:ln>
                  </pic:spPr>
                </pic:pic>
              </a:graphicData>
            </a:graphic>
          </wp:inline>
        </w:drawing>
      </w:r>
    </w:p>
    <w:p w:rsidR="00D7645E" w:rsidRDefault="00D7645E" w:rsidP="00D7645E">
      <w:pPr>
        <w:pStyle w:val="TextTimesRom11"/>
        <w:tabs>
          <w:tab w:val="left" w:pos="1701"/>
          <w:tab w:val="left" w:pos="4678"/>
        </w:tabs>
        <w:ind w:left="0"/>
        <w:jc w:val="center"/>
        <w:rPr>
          <w:b/>
          <w:sz w:val="24"/>
          <w:szCs w:val="24"/>
        </w:rPr>
      </w:pPr>
    </w:p>
    <w:p w:rsidR="007E31D9" w:rsidRDefault="00D7645E" w:rsidP="00600BD1">
      <w:pPr>
        <w:pStyle w:val="TextTimesRom11"/>
        <w:tabs>
          <w:tab w:val="left" w:pos="1701"/>
          <w:tab w:val="left" w:pos="4678"/>
        </w:tabs>
        <w:spacing w:line="276" w:lineRule="auto"/>
        <w:ind w:left="0" w:firstLine="720"/>
        <w:rPr>
          <w:sz w:val="24"/>
          <w:szCs w:val="24"/>
        </w:rPr>
      </w:pPr>
      <w:r w:rsidRPr="007970CB">
        <w:rPr>
          <w:sz w:val="24"/>
          <w:szCs w:val="24"/>
        </w:rPr>
        <w:t>The observation period</w:t>
      </w:r>
      <w:r>
        <w:rPr>
          <w:sz w:val="24"/>
          <w:szCs w:val="24"/>
        </w:rPr>
        <w:t xml:space="preserve"> is typically set to one year prior to the enrollment event.  This is the time period where one expects no differen</w:t>
      </w:r>
      <w:r w:rsidR="007E31D9">
        <w:rPr>
          <w:sz w:val="24"/>
          <w:szCs w:val="24"/>
        </w:rPr>
        <w:t xml:space="preserve">ce between cases and controls.  </w:t>
      </w:r>
      <w:r w:rsidR="00600BD1">
        <w:rPr>
          <w:sz w:val="24"/>
          <w:szCs w:val="24"/>
        </w:rPr>
        <w:t>In fact, by design controls are selected so that there would not be any major difference between cases and controls prior to enrollment.  Then one can attribute the differences in outcomes to enrollment and not some pre-enrollment differences.</w:t>
      </w:r>
    </w:p>
    <w:p w:rsidR="007E31D9" w:rsidRDefault="00853E33" w:rsidP="00D7645E">
      <w:pPr>
        <w:pStyle w:val="TextTimesRom11"/>
        <w:tabs>
          <w:tab w:val="left" w:pos="1701"/>
          <w:tab w:val="left" w:pos="4678"/>
        </w:tabs>
        <w:spacing w:after="120" w:line="276" w:lineRule="auto"/>
        <w:ind w:left="0" w:firstLine="720"/>
        <w:rPr>
          <w:sz w:val="24"/>
          <w:szCs w:val="24"/>
        </w:rPr>
      </w:pPr>
      <w:r w:rsidRPr="00853E33">
        <w:rPr>
          <w:sz w:val="24"/>
          <w:szCs w:val="24"/>
        </w:rPr>
        <w:t xml:space="preserve"> </w:t>
      </w:r>
      <w:r w:rsidR="007E31D9">
        <w:rPr>
          <w:sz w:val="24"/>
          <w:szCs w:val="24"/>
        </w:rPr>
        <w:t xml:space="preserve">As an example, consider </w:t>
      </w:r>
      <w:r w:rsidR="0027773B">
        <w:rPr>
          <w:sz w:val="24"/>
          <w:szCs w:val="24"/>
        </w:rPr>
        <w:t xml:space="preserve">the data in Table </w:t>
      </w:r>
      <w:r w:rsidR="00600BD1">
        <w:rPr>
          <w:sz w:val="24"/>
          <w:szCs w:val="24"/>
        </w:rPr>
        <w:t>2</w:t>
      </w:r>
      <w:r w:rsidR="0027773B">
        <w:rPr>
          <w:sz w:val="24"/>
          <w:szCs w:val="24"/>
        </w:rPr>
        <w:t>.  Two columns of data are given.  Date</w:t>
      </w:r>
      <w:r w:rsidR="00600BD1">
        <w:rPr>
          <w:sz w:val="24"/>
          <w:szCs w:val="24"/>
        </w:rPr>
        <w:t>s</w:t>
      </w:r>
      <w:r w:rsidR="0027773B">
        <w:rPr>
          <w:sz w:val="24"/>
          <w:szCs w:val="24"/>
        </w:rPr>
        <w:t xml:space="preserve"> of various events </w:t>
      </w:r>
      <w:r w:rsidR="00600BD1">
        <w:rPr>
          <w:sz w:val="24"/>
          <w:szCs w:val="24"/>
        </w:rPr>
        <w:t>are</w:t>
      </w:r>
      <w:r w:rsidR="0027773B">
        <w:rPr>
          <w:sz w:val="24"/>
          <w:szCs w:val="24"/>
        </w:rPr>
        <w:t xml:space="preserve"> given in one column and the second column calculates time since enrollment in the program.  Suppose </w:t>
      </w:r>
      <w:r w:rsidR="007E31D9">
        <w:rPr>
          <w:sz w:val="24"/>
          <w:szCs w:val="24"/>
        </w:rPr>
        <w:t xml:space="preserve">enrollment </w:t>
      </w:r>
      <w:r w:rsidR="0027773B">
        <w:rPr>
          <w:sz w:val="24"/>
          <w:szCs w:val="24"/>
        </w:rPr>
        <w:t xml:space="preserve">is </w:t>
      </w:r>
      <w:r w:rsidR="0019530E">
        <w:rPr>
          <w:sz w:val="24"/>
          <w:szCs w:val="24"/>
        </w:rPr>
        <w:t xml:space="preserve">any diabetic visit after </w:t>
      </w:r>
      <w:r w:rsidR="007E31D9">
        <w:rPr>
          <w:sz w:val="24"/>
          <w:szCs w:val="24"/>
        </w:rPr>
        <w:t>January 1; the follow up period is also scheduled for one year</w:t>
      </w:r>
      <w:r w:rsidR="0019530E">
        <w:rPr>
          <w:sz w:val="24"/>
          <w:szCs w:val="24"/>
        </w:rPr>
        <w:t xml:space="preserve"> after enrollment</w:t>
      </w:r>
      <w:r w:rsidR="007E31D9">
        <w:rPr>
          <w:sz w:val="24"/>
          <w:szCs w:val="24"/>
        </w:rPr>
        <w:t xml:space="preserve">.  </w:t>
      </w:r>
      <w:r w:rsidR="0027773B">
        <w:rPr>
          <w:sz w:val="24"/>
          <w:szCs w:val="24"/>
        </w:rPr>
        <w:t xml:space="preserve">Table </w:t>
      </w:r>
      <w:r w:rsidR="00600BD1">
        <w:rPr>
          <w:sz w:val="24"/>
          <w:szCs w:val="24"/>
        </w:rPr>
        <w:t>2</w:t>
      </w:r>
      <w:r w:rsidR="0027773B">
        <w:rPr>
          <w:sz w:val="24"/>
          <w:szCs w:val="24"/>
        </w:rPr>
        <w:t xml:space="preserve"> </w:t>
      </w:r>
      <w:r w:rsidR="007E31D9">
        <w:rPr>
          <w:sz w:val="24"/>
          <w:szCs w:val="24"/>
        </w:rPr>
        <w:t xml:space="preserve">lists </w:t>
      </w:r>
      <w:r w:rsidR="0027773B">
        <w:rPr>
          <w:sz w:val="24"/>
          <w:szCs w:val="24"/>
        </w:rPr>
        <w:t xml:space="preserve">time to </w:t>
      </w:r>
      <w:r w:rsidR="007E31D9">
        <w:rPr>
          <w:sz w:val="24"/>
          <w:szCs w:val="24"/>
        </w:rPr>
        <w:t xml:space="preserve">ED visits </w:t>
      </w:r>
      <w:r w:rsidR="0027773B">
        <w:rPr>
          <w:sz w:val="24"/>
          <w:szCs w:val="24"/>
        </w:rPr>
        <w:t>after the patient was enrolled</w:t>
      </w:r>
      <w:r w:rsidR="007E31D9">
        <w:rPr>
          <w:sz w:val="24"/>
          <w:szCs w:val="24"/>
        </w:rPr>
        <w:t xml:space="preserve">.  The patient </w:t>
      </w:r>
      <w:r w:rsidR="00600BD1">
        <w:rPr>
          <w:sz w:val="24"/>
          <w:szCs w:val="24"/>
        </w:rPr>
        <w:t xml:space="preserve">depicted in Table 2 </w:t>
      </w:r>
      <w:r w:rsidR="007E31D9">
        <w:rPr>
          <w:sz w:val="24"/>
          <w:szCs w:val="24"/>
        </w:rPr>
        <w:t xml:space="preserve">visits the physician on January 9.  This is the first </w:t>
      </w:r>
      <w:r w:rsidR="0019530E">
        <w:rPr>
          <w:sz w:val="24"/>
          <w:szCs w:val="24"/>
        </w:rPr>
        <w:t xml:space="preserve">diabetic </w:t>
      </w:r>
      <w:r w:rsidR="007E31D9">
        <w:rPr>
          <w:sz w:val="24"/>
          <w:szCs w:val="24"/>
        </w:rPr>
        <w:t xml:space="preserve">visit during the enrollment period so this becomes the enrollment event.  Over the next thirteen months the patient has several encounters with their physician as well as two ED visits. On both occasions the ED visits were the results of falls.  The </w:t>
      </w:r>
      <w:r w:rsidR="0019530E">
        <w:rPr>
          <w:sz w:val="24"/>
          <w:szCs w:val="24"/>
        </w:rPr>
        <w:t>t</w:t>
      </w:r>
      <w:r w:rsidR="007E31D9">
        <w:rPr>
          <w:sz w:val="24"/>
          <w:szCs w:val="24"/>
        </w:rPr>
        <w:t xml:space="preserve">ime </w:t>
      </w:r>
      <w:r w:rsidR="0019530E">
        <w:rPr>
          <w:sz w:val="24"/>
          <w:szCs w:val="24"/>
        </w:rPr>
        <w:t>s</w:t>
      </w:r>
      <w:r w:rsidR="007E31D9">
        <w:rPr>
          <w:sz w:val="24"/>
          <w:szCs w:val="24"/>
        </w:rPr>
        <w:t xml:space="preserve">ince </w:t>
      </w:r>
      <w:r w:rsidR="0019530E">
        <w:rPr>
          <w:sz w:val="24"/>
          <w:szCs w:val="24"/>
        </w:rPr>
        <w:t>e</w:t>
      </w:r>
      <w:r w:rsidR="007E31D9">
        <w:rPr>
          <w:sz w:val="24"/>
          <w:szCs w:val="24"/>
        </w:rPr>
        <w:t xml:space="preserve">nrollment in the study is the number of days between these </w:t>
      </w:r>
      <w:r w:rsidR="00C140B4">
        <w:rPr>
          <w:sz w:val="24"/>
          <w:szCs w:val="24"/>
        </w:rPr>
        <w:t xml:space="preserve">fall </w:t>
      </w:r>
      <w:r w:rsidR="007E31D9">
        <w:rPr>
          <w:sz w:val="24"/>
          <w:szCs w:val="24"/>
        </w:rPr>
        <w:t xml:space="preserve">events and the </w:t>
      </w:r>
      <w:r w:rsidR="0019530E">
        <w:rPr>
          <w:sz w:val="24"/>
          <w:szCs w:val="24"/>
        </w:rPr>
        <w:t>e</w:t>
      </w:r>
      <w:r w:rsidR="007E31D9">
        <w:rPr>
          <w:sz w:val="24"/>
          <w:szCs w:val="24"/>
        </w:rPr>
        <w:t xml:space="preserve">nrollment </w:t>
      </w:r>
      <w:r w:rsidR="0019530E">
        <w:rPr>
          <w:sz w:val="24"/>
          <w:szCs w:val="24"/>
        </w:rPr>
        <w:t>d</w:t>
      </w:r>
      <w:r w:rsidR="007E31D9">
        <w:rPr>
          <w:sz w:val="24"/>
          <w:szCs w:val="24"/>
        </w:rPr>
        <w:t xml:space="preserve">ate.  As </w:t>
      </w:r>
      <w:r w:rsidR="0019530E">
        <w:rPr>
          <w:sz w:val="24"/>
          <w:szCs w:val="24"/>
        </w:rPr>
        <w:t xml:space="preserve">Table </w:t>
      </w:r>
      <w:r w:rsidR="00600BD1">
        <w:rPr>
          <w:sz w:val="24"/>
          <w:szCs w:val="24"/>
        </w:rPr>
        <w:t>2</w:t>
      </w:r>
      <w:r w:rsidR="0019530E">
        <w:rPr>
          <w:sz w:val="24"/>
          <w:szCs w:val="24"/>
        </w:rPr>
        <w:t xml:space="preserve"> </w:t>
      </w:r>
      <w:r w:rsidR="007E31D9">
        <w:rPr>
          <w:sz w:val="24"/>
          <w:szCs w:val="24"/>
        </w:rPr>
        <w:t xml:space="preserve">shows, one of these </w:t>
      </w:r>
      <w:r w:rsidR="00C140B4">
        <w:rPr>
          <w:sz w:val="24"/>
          <w:szCs w:val="24"/>
        </w:rPr>
        <w:t xml:space="preserve">fall </w:t>
      </w:r>
      <w:r w:rsidR="007E31D9">
        <w:rPr>
          <w:sz w:val="24"/>
          <w:szCs w:val="24"/>
        </w:rPr>
        <w:t>events</w:t>
      </w:r>
      <w:r w:rsidR="00C140B4">
        <w:rPr>
          <w:sz w:val="24"/>
          <w:szCs w:val="24"/>
        </w:rPr>
        <w:t xml:space="preserve"> was </w:t>
      </w:r>
      <w:r w:rsidR="0019530E">
        <w:rPr>
          <w:sz w:val="24"/>
          <w:szCs w:val="24"/>
        </w:rPr>
        <w:t>within one year of enrollment and therefore in the follow up period</w:t>
      </w:r>
      <w:r w:rsidR="00C140B4">
        <w:rPr>
          <w:sz w:val="24"/>
          <w:szCs w:val="24"/>
        </w:rPr>
        <w:t xml:space="preserve">. </w:t>
      </w:r>
      <w:r w:rsidR="007E31D9">
        <w:rPr>
          <w:sz w:val="24"/>
          <w:szCs w:val="24"/>
        </w:rPr>
        <w:t xml:space="preserve"> </w:t>
      </w:r>
      <w:r w:rsidR="00600BD1">
        <w:rPr>
          <w:sz w:val="24"/>
          <w:szCs w:val="24"/>
        </w:rPr>
        <w:t xml:space="preserve">In analyzing data from electronic health records, it is important to clearly define the enrollment event and follow up and observation periods as these time intervals change the data.  </w:t>
      </w:r>
    </w:p>
    <w:p w:rsidR="0019530E" w:rsidRPr="0019530E" w:rsidRDefault="0019530E" w:rsidP="0019530E">
      <w:pPr>
        <w:pStyle w:val="TextTimesRom11"/>
        <w:tabs>
          <w:tab w:val="left" w:pos="1701"/>
          <w:tab w:val="left" w:pos="4678"/>
        </w:tabs>
        <w:ind w:left="0"/>
        <w:jc w:val="center"/>
        <w:rPr>
          <w:b/>
          <w:sz w:val="24"/>
          <w:szCs w:val="24"/>
        </w:rPr>
      </w:pPr>
      <w:r w:rsidRPr="0019530E">
        <w:rPr>
          <w:b/>
          <w:sz w:val="24"/>
          <w:szCs w:val="24"/>
        </w:rPr>
        <w:t xml:space="preserve">Table </w:t>
      </w:r>
      <w:r w:rsidR="00BA66F8">
        <w:rPr>
          <w:b/>
          <w:sz w:val="24"/>
          <w:szCs w:val="24"/>
        </w:rPr>
        <w:t>2</w:t>
      </w:r>
      <w:r w:rsidRPr="0019530E">
        <w:rPr>
          <w:b/>
          <w:sz w:val="24"/>
          <w:szCs w:val="24"/>
        </w:rPr>
        <w:t>:  A Sample Patient and His Encounters</w:t>
      </w:r>
    </w:p>
    <w:p w:rsidR="007E31D9" w:rsidRDefault="0027773B" w:rsidP="0019530E">
      <w:pPr>
        <w:pStyle w:val="TextTimesRom11"/>
        <w:tabs>
          <w:tab w:val="left" w:pos="1701"/>
          <w:tab w:val="left" w:pos="4678"/>
        </w:tabs>
        <w:spacing w:after="120" w:line="276" w:lineRule="auto"/>
        <w:ind w:left="0"/>
        <w:jc w:val="center"/>
        <w:rPr>
          <w:sz w:val="24"/>
          <w:szCs w:val="24"/>
        </w:rPr>
      </w:pPr>
      <w:r w:rsidRPr="0027773B">
        <w:rPr>
          <w:noProof/>
          <w:sz w:val="24"/>
          <w:szCs w:val="24"/>
        </w:rPr>
        <w:drawing>
          <wp:inline distT="0" distB="0" distL="0" distR="0">
            <wp:extent cx="3867150" cy="151384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683"/>
                    <a:stretch>
                      <a:fillRect/>
                    </a:stretch>
                  </pic:blipFill>
                  <pic:spPr bwMode="auto">
                    <a:xfrm>
                      <a:off x="0" y="0"/>
                      <a:ext cx="3867150" cy="1513840"/>
                    </a:xfrm>
                    <a:prstGeom prst="rect">
                      <a:avLst/>
                    </a:prstGeom>
                    <a:noFill/>
                    <a:ln>
                      <a:noFill/>
                    </a:ln>
                  </pic:spPr>
                </pic:pic>
              </a:graphicData>
            </a:graphic>
          </wp:inline>
        </w:drawing>
      </w:r>
    </w:p>
    <w:p w:rsidR="00C140B4" w:rsidRDefault="00C140B4" w:rsidP="007E31D9">
      <w:pPr>
        <w:pStyle w:val="TextTimesRom11"/>
        <w:tabs>
          <w:tab w:val="left" w:pos="1701"/>
          <w:tab w:val="left" w:pos="4678"/>
        </w:tabs>
        <w:spacing w:after="120" w:line="276" w:lineRule="auto"/>
        <w:ind w:left="0" w:firstLine="720"/>
        <w:jc w:val="center"/>
        <w:rPr>
          <w:sz w:val="24"/>
          <w:szCs w:val="24"/>
        </w:rPr>
      </w:pPr>
    </w:p>
    <w:p w:rsidR="00D7645E" w:rsidRDefault="00D7645E" w:rsidP="00D7645E">
      <w:pPr>
        <w:pStyle w:val="Heading2"/>
      </w:pPr>
      <w:bookmarkStart w:id="7" w:name="_Toc359659836"/>
      <w:r w:rsidRPr="005A7626">
        <w:t>Matching Criteria</w:t>
      </w:r>
      <w:bookmarkEnd w:id="7"/>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Controls differ from cases in distinct ways.  For example, controls may be older or have different comorbidities</w:t>
      </w:r>
      <w:r w:rsidR="00EF6082">
        <w:rPr>
          <w:sz w:val="24"/>
          <w:szCs w:val="24"/>
        </w:rPr>
        <w:t xml:space="preserve">.  These differences </w:t>
      </w:r>
      <w:r>
        <w:rPr>
          <w:sz w:val="24"/>
          <w:szCs w:val="24"/>
        </w:rPr>
        <w:t xml:space="preserve">affect </w:t>
      </w:r>
      <w:r w:rsidR="00EF6082">
        <w:rPr>
          <w:sz w:val="24"/>
          <w:szCs w:val="24"/>
        </w:rPr>
        <w:t xml:space="preserve">intervention </w:t>
      </w:r>
      <w:r>
        <w:rPr>
          <w:sz w:val="24"/>
          <w:szCs w:val="24"/>
        </w:rPr>
        <w:t>outcomes.  To make sure that these variations do not get attributed to the intervention, controls should be matched to cases.  The variables used to make these matches are different from study to study.  The following is some of the more typical variables used in matching cases to controls:</w:t>
      </w:r>
    </w:p>
    <w:p w:rsidR="00D7645E" w:rsidRDefault="00D7645E" w:rsidP="00D7645E">
      <w:pPr>
        <w:numPr>
          <w:ilvl w:val="0"/>
          <w:numId w:val="2"/>
        </w:numPr>
        <w:spacing w:line="276" w:lineRule="auto"/>
      </w:pPr>
      <w:r w:rsidRPr="00BD1EF1">
        <w:t>Same observation period</w:t>
      </w:r>
      <w:r>
        <w:t xml:space="preserve">.  Controls are often selected so that they had the same time observation period prior to enrollment. When this is not done, the differences in case and controls could be due to changes that have occurred over time in the environment, or provider’s learning.  </w:t>
      </w:r>
      <w:r w:rsidRPr="007D5DBC">
        <w:t xml:space="preserve">  </w:t>
      </w:r>
      <w:r>
        <w:t xml:space="preserve">  </w:t>
      </w:r>
    </w:p>
    <w:p w:rsidR="00D7645E" w:rsidRDefault="00D7645E" w:rsidP="00D7645E">
      <w:pPr>
        <w:numPr>
          <w:ilvl w:val="0"/>
          <w:numId w:val="2"/>
        </w:numPr>
        <w:spacing w:line="276" w:lineRule="auto"/>
      </w:pPr>
      <w:r w:rsidRPr="00BD1EF1">
        <w:t>Same age on admission</w:t>
      </w:r>
      <w:r>
        <w:t xml:space="preserve">.  Controls are often randomly selected so that their age matches the case.  </w:t>
      </w:r>
    </w:p>
    <w:p w:rsidR="00D7645E" w:rsidRDefault="00D7645E" w:rsidP="00D7645E">
      <w:pPr>
        <w:numPr>
          <w:ilvl w:val="0"/>
          <w:numId w:val="2"/>
        </w:numPr>
        <w:spacing w:line="276" w:lineRule="auto"/>
      </w:pPr>
      <w:r w:rsidRPr="00BD1EF1">
        <w:t>Same gender</w:t>
      </w:r>
      <w:r w:rsidR="00EF6082">
        <w:t xml:space="preserve"> on admission</w:t>
      </w:r>
      <w:r w:rsidRPr="00015EA7">
        <w:t>.</w:t>
      </w:r>
      <w:r>
        <w:t xml:space="preserve">  The gender of the control and the case is often set to match.  </w:t>
      </w:r>
    </w:p>
    <w:p w:rsidR="00D7645E" w:rsidRDefault="00D7645E" w:rsidP="00D7645E">
      <w:pPr>
        <w:numPr>
          <w:ilvl w:val="0"/>
          <w:numId w:val="2"/>
        </w:numPr>
        <w:spacing w:line="276" w:lineRule="auto"/>
      </w:pPr>
      <w:r>
        <w:t xml:space="preserve">Same comorbidities.  Controls are randomly selected so that they match the comorbidities of the cases.    </w:t>
      </w:r>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 Another way of controlling for differences prior to enrollment is to select controls so that they match cases in outcomes observed in the period prior to enrollment.  In this fashion, case and controls have the same history.  The variables typically used in this fashion include history of hospitalization, m</w:t>
      </w:r>
      <w:r w:rsidRPr="00EC42DC">
        <w:t>edical errors, falls and use of mental health services</w:t>
      </w:r>
      <w:r>
        <w:t xml:space="preserve">.  </w:t>
      </w:r>
      <w:r>
        <w:rPr>
          <w:sz w:val="24"/>
          <w:szCs w:val="24"/>
        </w:rPr>
        <w:t xml:space="preserve">  </w:t>
      </w:r>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For continuous variables, a control </w:t>
      </w:r>
      <w:r w:rsidR="00733167">
        <w:rPr>
          <w:sz w:val="24"/>
          <w:szCs w:val="24"/>
        </w:rPr>
        <w:t xml:space="preserve">can be </w:t>
      </w:r>
      <w:r>
        <w:rPr>
          <w:sz w:val="24"/>
          <w:szCs w:val="24"/>
        </w:rPr>
        <w:t xml:space="preserve">said to match a case, if controls are within one standard deviation of the case.  For discrete variables, the two match if </w:t>
      </w:r>
      <w:r w:rsidR="00733167">
        <w:rPr>
          <w:sz w:val="24"/>
          <w:szCs w:val="24"/>
        </w:rPr>
        <w:t xml:space="preserve">the </w:t>
      </w:r>
      <w:r>
        <w:rPr>
          <w:sz w:val="24"/>
          <w:szCs w:val="24"/>
        </w:rPr>
        <w:t xml:space="preserve">control </w:t>
      </w:r>
      <w:r w:rsidR="00733167">
        <w:rPr>
          <w:sz w:val="24"/>
          <w:szCs w:val="24"/>
        </w:rPr>
        <w:t xml:space="preserve">and the case </w:t>
      </w:r>
      <w:r>
        <w:rPr>
          <w:sz w:val="24"/>
          <w:szCs w:val="24"/>
        </w:rPr>
        <w:t>have the same value.  For each case, typically five matching controls are selected.  If more than five controls are available, the selection among the matched controls is done randomly.  Cases that fail to match to at least five controls are not included in the analysis.</w:t>
      </w:r>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To illustrate an example of how matching occ</w:t>
      </w:r>
      <w:r w:rsidR="000967C6">
        <w:rPr>
          <w:sz w:val="24"/>
          <w:szCs w:val="24"/>
        </w:rPr>
        <w:t xml:space="preserve">urs, examine the data in Table </w:t>
      </w:r>
      <w:r w:rsidR="00BA66F8">
        <w:rPr>
          <w:sz w:val="24"/>
          <w:szCs w:val="24"/>
        </w:rPr>
        <w:t>3</w:t>
      </w:r>
      <w:r>
        <w:rPr>
          <w:sz w:val="24"/>
          <w:szCs w:val="24"/>
        </w:rPr>
        <w:t xml:space="preserve">.  This table shows data for 2 cases (identified as cases where the variable treated is “Yes) and 7 controls (where the variable treated is “No”).  These patients are to be matched based on age, where for simplicity is assumed to have two categories: “Young” and “Old”.  The outcomes are shown as either “Positive” or “Negative.”  Table </w:t>
      </w:r>
      <w:r w:rsidR="00BA66F8">
        <w:rPr>
          <w:sz w:val="24"/>
          <w:szCs w:val="24"/>
        </w:rPr>
        <w:t>3</w:t>
      </w:r>
      <w:r>
        <w:rPr>
          <w:sz w:val="24"/>
          <w:szCs w:val="24"/>
        </w:rPr>
        <w:t xml:space="preserve"> also shows a random number that can be used for selecting among several controls that match the case.</w:t>
      </w:r>
    </w:p>
    <w:p w:rsidR="00D7645E" w:rsidRPr="003D4E4B" w:rsidRDefault="00D7645E" w:rsidP="00D7645E">
      <w:pPr>
        <w:pStyle w:val="TextTimesRom11"/>
        <w:keepNext/>
        <w:tabs>
          <w:tab w:val="left" w:pos="1701"/>
          <w:tab w:val="left" w:pos="4678"/>
        </w:tabs>
        <w:ind w:left="0"/>
        <w:jc w:val="center"/>
        <w:rPr>
          <w:b/>
          <w:sz w:val="24"/>
          <w:szCs w:val="24"/>
        </w:rPr>
      </w:pPr>
      <w:r w:rsidRPr="003D4E4B">
        <w:rPr>
          <w:b/>
          <w:sz w:val="24"/>
          <w:szCs w:val="24"/>
        </w:rPr>
        <w:t xml:space="preserve">Table </w:t>
      </w:r>
      <w:r w:rsidR="00BA66F8">
        <w:rPr>
          <w:b/>
          <w:sz w:val="24"/>
          <w:szCs w:val="24"/>
        </w:rPr>
        <w:t>3</w:t>
      </w:r>
      <w:r w:rsidRPr="003D4E4B">
        <w:rPr>
          <w:b/>
          <w:sz w:val="24"/>
          <w:szCs w:val="24"/>
        </w:rPr>
        <w:t>:  A Procedure for Matching Controls to Cases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1390"/>
        <w:gridCol w:w="860"/>
        <w:gridCol w:w="1716"/>
        <w:gridCol w:w="1504"/>
        <w:gridCol w:w="1097"/>
        <w:gridCol w:w="999"/>
      </w:tblGrid>
      <w:tr w:rsidR="00D7645E" w:rsidRPr="009B68B7" w:rsidTr="00FC5808">
        <w:trPr>
          <w:trHeight w:val="300"/>
          <w:jc w:val="center"/>
        </w:trPr>
        <w:tc>
          <w:tcPr>
            <w:tcW w:w="1100" w:type="dxa"/>
            <w:vMerge w:val="restart"/>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Patient ID</w:t>
            </w:r>
          </w:p>
        </w:tc>
        <w:tc>
          <w:tcPr>
            <w:tcW w:w="1136" w:type="dxa"/>
            <w:vMerge w:val="restart"/>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Received Intervention</w:t>
            </w:r>
          </w:p>
        </w:tc>
        <w:tc>
          <w:tcPr>
            <w:tcW w:w="860" w:type="dxa"/>
            <w:vMerge w:val="restart"/>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Age</w:t>
            </w:r>
          </w:p>
        </w:tc>
        <w:tc>
          <w:tcPr>
            <w:tcW w:w="3220" w:type="dxa"/>
            <w:gridSpan w:val="2"/>
            <w:shd w:val="clear" w:color="auto" w:fill="auto"/>
            <w:noWrap/>
            <w:vAlign w:val="bottom"/>
            <w:hideMark/>
          </w:tcPr>
          <w:p w:rsidR="00D7645E" w:rsidRPr="00455988" w:rsidRDefault="00BD5FF1" w:rsidP="00BD5FF1">
            <w:pPr>
              <w:keepNext/>
              <w:jc w:val="center"/>
              <w:rPr>
                <w:b/>
                <w:bCs/>
                <w:color w:val="000000"/>
                <w:szCs w:val="22"/>
              </w:rPr>
            </w:pPr>
            <w:r>
              <w:rPr>
                <w:b/>
                <w:bCs/>
                <w:color w:val="000000"/>
                <w:sz w:val="22"/>
                <w:szCs w:val="22"/>
              </w:rPr>
              <w:t xml:space="preserve">Months to </w:t>
            </w:r>
            <w:r w:rsidR="00D7645E" w:rsidRPr="00455988">
              <w:rPr>
                <w:b/>
                <w:bCs/>
                <w:color w:val="000000"/>
                <w:sz w:val="22"/>
                <w:szCs w:val="22"/>
              </w:rPr>
              <w:t>Fall</w:t>
            </w:r>
          </w:p>
        </w:tc>
        <w:tc>
          <w:tcPr>
            <w:tcW w:w="1097" w:type="dxa"/>
            <w:vMerge w:val="restart"/>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Random Number</w:t>
            </w:r>
          </w:p>
        </w:tc>
        <w:tc>
          <w:tcPr>
            <w:tcW w:w="950" w:type="dxa"/>
            <w:vMerge w:val="restart"/>
            <w:shd w:val="clear" w:color="auto" w:fill="auto"/>
            <w:vAlign w:val="bottom"/>
          </w:tcPr>
          <w:p w:rsidR="00D7645E" w:rsidRPr="00455988" w:rsidRDefault="00D7645E" w:rsidP="00FC5808">
            <w:pPr>
              <w:keepNext/>
              <w:jc w:val="center"/>
              <w:rPr>
                <w:b/>
                <w:bCs/>
                <w:color w:val="000000"/>
                <w:szCs w:val="22"/>
              </w:rPr>
            </w:pPr>
            <w:r w:rsidRPr="00455988">
              <w:rPr>
                <w:b/>
                <w:bCs/>
                <w:color w:val="000000"/>
                <w:sz w:val="22"/>
                <w:szCs w:val="22"/>
              </w:rPr>
              <w:t>Case or control?</w:t>
            </w:r>
          </w:p>
        </w:tc>
      </w:tr>
      <w:tr w:rsidR="00D7645E" w:rsidRPr="009B68B7" w:rsidTr="00FC5808">
        <w:trPr>
          <w:trHeight w:val="600"/>
          <w:jc w:val="center"/>
        </w:trPr>
        <w:tc>
          <w:tcPr>
            <w:tcW w:w="1100" w:type="dxa"/>
            <w:vMerge/>
            <w:shd w:val="clear" w:color="auto" w:fill="auto"/>
            <w:vAlign w:val="bottom"/>
            <w:hideMark/>
          </w:tcPr>
          <w:p w:rsidR="00D7645E" w:rsidRPr="00455988" w:rsidRDefault="00D7645E" w:rsidP="00FC5808">
            <w:pPr>
              <w:keepNext/>
              <w:jc w:val="center"/>
              <w:rPr>
                <w:b/>
                <w:bCs/>
                <w:color w:val="000000"/>
                <w:szCs w:val="22"/>
              </w:rPr>
            </w:pPr>
          </w:p>
        </w:tc>
        <w:tc>
          <w:tcPr>
            <w:tcW w:w="1136" w:type="dxa"/>
            <w:vMerge/>
            <w:shd w:val="clear" w:color="auto" w:fill="auto"/>
            <w:vAlign w:val="bottom"/>
            <w:hideMark/>
          </w:tcPr>
          <w:p w:rsidR="00D7645E" w:rsidRPr="00455988" w:rsidRDefault="00D7645E" w:rsidP="00FC5808">
            <w:pPr>
              <w:keepNext/>
              <w:jc w:val="center"/>
              <w:rPr>
                <w:b/>
                <w:bCs/>
                <w:color w:val="000000"/>
                <w:szCs w:val="22"/>
              </w:rPr>
            </w:pPr>
          </w:p>
        </w:tc>
        <w:tc>
          <w:tcPr>
            <w:tcW w:w="860" w:type="dxa"/>
            <w:vMerge/>
            <w:shd w:val="clear" w:color="auto" w:fill="auto"/>
            <w:vAlign w:val="bottom"/>
            <w:hideMark/>
          </w:tcPr>
          <w:p w:rsidR="00D7645E" w:rsidRPr="00455988" w:rsidRDefault="00D7645E" w:rsidP="00FC5808">
            <w:pPr>
              <w:keepNext/>
              <w:jc w:val="center"/>
              <w:rPr>
                <w:b/>
                <w:bCs/>
                <w:color w:val="000000"/>
                <w:szCs w:val="22"/>
              </w:rPr>
            </w:pPr>
          </w:p>
        </w:tc>
        <w:tc>
          <w:tcPr>
            <w:tcW w:w="1716" w:type="dxa"/>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Observation Period</w:t>
            </w:r>
          </w:p>
        </w:tc>
        <w:tc>
          <w:tcPr>
            <w:tcW w:w="1504" w:type="dxa"/>
            <w:shd w:val="clear" w:color="auto" w:fill="auto"/>
            <w:vAlign w:val="bottom"/>
            <w:hideMark/>
          </w:tcPr>
          <w:p w:rsidR="00D7645E" w:rsidRPr="00455988" w:rsidRDefault="00D7645E" w:rsidP="00FC5808">
            <w:pPr>
              <w:keepNext/>
              <w:jc w:val="center"/>
              <w:rPr>
                <w:b/>
                <w:bCs/>
                <w:color w:val="000000"/>
                <w:szCs w:val="22"/>
              </w:rPr>
            </w:pPr>
            <w:r w:rsidRPr="00455988">
              <w:rPr>
                <w:b/>
                <w:bCs/>
                <w:color w:val="000000"/>
                <w:sz w:val="22"/>
                <w:szCs w:val="22"/>
              </w:rPr>
              <w:t>Follow-up Period</w:t>
            </w:r>
          </w:p>
        </w:tc>
        <w:tc>
          <w:tcPr>
            <w:tcW w:w="1097" w:type="dxa"/>
            <w:vMerge/>
            <w:shd w:val="clear" w:color="auto" w:fill="auto"/>
            <w:vAlign w:val="bottom"/>
            <w:hideMark/>
          </w:tcPr>
          <w:p w:rsidR="00D7645E" w:rsidRPr="00455988" w:rsidRDefault="00D7645E" w:rsidP="00FC5808">
            <w:pPr>
              <w:keepNext/>
              <w:jc w:val="center"/>
              <w:rPr>
                <w:b/>
                <w:bCs/>
                <w:color w:val="000000"/>
                <w:szCs w:val="22"/>
              </w:rPr>
            </w:pPr>
          </w:p>
        </w:tc>
        <w:tc>
          <w:tcPr>
            <w:tcW w:w="950" w:type="dxa"/>
            <w:vMerge/>
            <w:shd w:val="clear" w:color="auto" w:fill="auto"/>
            <w:vAlign w:val="bottom"/>
          </w:tcPr>
          <w:p w:rsidR="00D7645E" w:rsidRPr="00455988" w:rsidRDefault="00D7645E" w:rsidP="00FC5808">
            <w:pPr>
              <w:keepNext/>
              <w:jc w:val="center"/>
              <w:rPr>
                <w:b/>
                <w:bCs/>
                <w:color w:val="000000"/>
                <w:szCs w:val="22"/>
              </w:rPr>
            </w:pPr>
          </w:p>
        </w:tc>
      </w:tr>
      <w:tr w:rsidR="00D7645E" w:rsidRPr="009B68B7" w:rsidTr="00BD5FF1">
        <w:trPr>
          <w:trHeight w:val="300"/>
          <w:jc w:val="center"/>
        </w:trPr>
        <w:tc>
          <w:tcPr>
            <w:tcW w:w="1100" w:type="dxa"/>
            <w:shd w:val="clear" w:color="auto" w:fill="FFFF99"/>
            <w:noWrap/>
            <w:hideMark/>
          </w:tcPr>
          <w:p w:rsidR="00D7645E" w:rsidRPr="00455988" w:rsidRDefault="00D7645E" w:rsidP="00FC5808">
            <w:pPr>
              <w:keepNext/>
              <w:jc w:val="center"/>
              <w:rPr>
                <w:color w:val="000000"/>
                <w:szCs w:val="22"/>
              </w:rPr>
            </w:pPr>
            <w:r w:rsidRPr="00455988">
              <w:rPr>
                <w:color w:val="000000"/>
                <w:sz w:val="22"/>
                <w:szCs w:val="22"/>
              </w:rPr>
              <w:t>1</w:t>
            </w:r>
          </w:p>
        </w:tc>
        <w:tc>
          <w:tcPr>
            <w:tcW w:w="1136" w:type="dxa"/>
            <w:shd w:val="clear" w:color="auto" w:fill="FFFF99"/>
            <w:noWrap/>
            <w:hideMark/>
          </w:tcPr>
          <w:p w:rsidR="00D7645E" w:rsidRPr="00455988" w:rsidRDefault="00D7645E" w:rsidP="00FC5808">
            <w:pPr>
              <w:keepNext/>
              <w:jc w:val="center"/>
              <w:rPr>
                <w:color w:val="000000"/>
                <w:szCs w:val="22"/>
              </w:rPr>
            </w:pPr>
            <w:r w:rsidRPr="00455988">
              <w:rPr>
                <w:color w:val="000000"/>
                <w:sz w:val="22"/>
                <w:szCs w:val="22"/>
              </w:rPr>
              <w:t>Yes</w:t>
            </w:r>
          </w:p>
        </w:tc>
        <w:tc>
          <w:tcPr>
            <w:tcW w:w="860" w:type="dxa"/>
            <w:shd w:val="clear" w:color="auto" w:fill="FFFF99"/>
            <w:noWrap/>
            <w:hideMark/>
          </w:tcPr>
          <w:p w:rsidR="00D7645E" w:rsidRPr="00455988" w:rsidRDefault="00D7645E" w:rsidP="00FC5808">
            <w:pPr>
              <w:keepNext/>
              <w:jc w:val="center"/>
              <w:rPr>
                <w:color w:val="000000"/>
                <w:szCs w:val="22"/>
              </w:rPr>
            </w:pPr>
            <w:r w:rsidRPr="00455988">
              <w:rPr>
                <w:color w:val="000000"/>
                <w:sz w:val="22"/>
                <w:szCs w:val="22"/>
              </w:rPr>
              <w:t>65</w:t>
            </w:r>
          </w:p>
        </w:tc>
        <w:tc>
          <w:tcPr>
            <w:tcW w:w="1716" w:type="dxa"/>
            <w:shd w:val="clear" w:color="auto" w:fill="FFFF99"/>
            <w:noWrap/>
          </w:tcPr>
          <w:p w:rsidR="00D7645E" w:rsidRPr="00455988" w:rsidRDefault="00D7645E" w:rsidP="00FC5808">
            <w:pPr>
              <w:keepNext/>
              <w:jc w:val="center"/>
              <w:rPr>
                <w:color w:val="000000"/>
                <w:szCs w:val="22"/>
              </w:rPr>
            </w:pPr>
          </w:p>
        </w:tc>
        <w:tc>
          <w:tcPr>
            <w:tcW w:w="1504" w:type="dxa"/>
            <w:shd w:val="clear" w:color="auto" w:fill="FFFF99"/>
            <w:noWrap/>
            <w:hideMark/>
          </w:tcPr>
          <w:p w:rsidR="00D7645E" w:rsidRPr="00455988" w:rsidRDefault="00BD5FF1" w:rsidP="00FC5808">
            <w:pPr>
              <w:keepNext/>
              <w:jc w:val="center"/>
              <w:rPr>
                <w:color w:val="000000"/>
                <w:szCs w:val="22"/>
              </w:rPr>
            </w:pPr>
            <w:r>
              <w:rPr>
                <w:color w:val="000000"/>
                <w:sz w:val="22"/>
                <w:szCs w:val="22"/>
              </w:rPr>
              <w:t>3</w:t>
            </w:r>
          </w:p>
        </w:tc>
        <w:tc>
          <w:tcPr>
            <w:tcW w:w="1097" w:type="dxa"/>
            <w:shd w:val="clear" w:color="auto" w:fill="FFFF99"/>
            <w:noWrap/>
            <w:hideMark/>
          </w:tcPr>
          <w:p w:rsidR="00D7645E" w:rsidRPr="00455988" w:rsidRDefault="00D7645E" w:rsidP="00FC5808">
            <w:pPr>
              <w:keepNext/>
              <w:jc w:val="center"/>
              <w:rPr>
                <w:color w:val="000000"/>
                <w:szCs w:val="22"/>
              </w:rPr>
            </w:pPr>
            <w:r w:rsidRPr="00455988">
              <w:rPr>
                <w:color w:val="000000"/>
                <w:sz w:val="22"/>
                <w:szCs w:val="22"/>
              </w:rPr>
              <w:t>0.24</w:t>
            </w:r>
          </w:p>
        </w:tc>
        <w:tc>
          <w:tcPr>
            <w:tcW w:w="950" w:type="dxa"/>
            <w:shd w:val="clear" w:color="auto" w:fill="FFFF99"/>
          </w:tcPr>
          <w:p w:rsidR="00D7645E" w:rsidRPr="00455988" w:rsidRDefault="00D7645E" w:rsidP="00FC5808">
            <w:pPr>
              <w:keepNext/>
              <w:jc w:val="center"/>
              <w:rPr>
                <w:color w:val="000000"/>
                <w:szCs w:val="22"/>
              </w:rPr>
            </w:pPr>
            <w:r w:rsidRPr="00455988">
              <w:rPr>
                <w:color w:val="000000"/>
                <w:sz w:val="22"/>
                <w:szCs w:val="22"/>
              </w:rPr>
              <w:t>Case</w:t>
            </w:r>
          </w:p>
        </w:tc>
      </w:tr>
      <w:tr w:rsidR="00D7645E" w:rsidRPr="009B68B7" w:rsidTr="00BD5FF1">
        <w:trPr>
          <w:trHeight w:val="300"/>
          <w:jc w:val="center"/>
        </w:trPr>
        <w:tc>
          <w:tcPr>
            <w:tcW w:w="110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2</w:t>
            </w:r>
          </w:p>
        </w:tc>
        <w:tc>
          <w:tcPr>
            <w:tcW w:w="1136"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60</w:t>
            </w:r>
          </w:p>
        </w:tc>
        <w:tc>
          <w:tcPr>
            <w:tcW w:w="1716" w:type="dxa"/>
            <w:shd w:val="clear" w:color="auto" w:fill="auto"/>
            <w:noWrap/>
          </w:tcPr>
          <w:p w:rsidR="00D7645E" w:rsidRPr="00455988" w:rsidRDefault="00D7645E" w:rsidP="00FC5808">
            <w:pPr>
              <w:jc w:val="center"/>
              <w:rPr>
                <w:color w:val="000000"/>
                <w:szCs w:val="22"/>
              </w:rPr>
            </w:pPr>
          </w:p>
        </w:tc>
        <w:tc>
          <w:tcPr>
            <w:tcW w:w="1504" w:type="dxa"/>
            <w:shd w:val="clear" w:color="auto" w:fill="auto"/>
            <w:noWrap/>
            <w:hideMark/>
          </w:tcPr>
          <w:p w:rsidR="00D7645E" w:rsidRPr="00455988" w:rsidRDefault="00BD5FF1" w:rsidP="00FC5808">
            <w:pPr>
              <w:jc w:val="center"/>
              <w:rPr>
                <w:color w:val="000000"/>
                <w:szCs w:val="22"/>
              </w:rPr>
            </w:pPr>
            <w:r>
              <w:rPr>
                <w:color w:val="000000"/>
                <w:sz w:val="22"/>
                <w:szCs w:val="22"/>
              </w:rPr>
              <w:t>2</w:t>
            </w:r>
          </w:p>
        </w:tc>
        <w:tc>
          <w:tcPr>
            <w:tcW w:w="1097"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0.85</w:t>
            </w:r>
          </w:p>
        </w:tc>
        <w:tc>
          <w:tcPr>
            <w:tcW w:w="950" w:type="dxa"/>
            <w:shd w:val="clear" w:color="auto" w:fill="auto"/>
          </w:tcPr>
          <w:p w:rsidR="00D7645E" w:rsidRPr="00455988" w:rsidRDefault="00D7645E" w:rsidP="00FC5808">
            <w:pPr>
              <w:jc w:val="center"/>
              <w:rPr>
                <w:color w:val="000000"/>
                <w:szCs w:val="22"/>
              </w:rPr>
            </w:pPr>
          </w:p>
        </w:tc>
      </w:tr>
      <w:tr w:rsidR="00D7645E" w:rsidRPr="009B68B7" w:rsidTr="00BD5FF1">
        <w:trPr>
          <w:trHeight w:val="300"/>
          <w:jc w:val="center"/>
        </w:trPr>
        <w:tc>
          <w:tcPr>
            <w:tcW w:w="1100" w:type="dxa"/>
            <w:shd w:val="clear" w:color="auto" w:fill="FFFF99"/>
            <w:noWrap/>
            <w:hideMark/>
          </w:tcPr>
          <w:p w:rsidR="00D7645E" w:rsidRPr="00455988" w:rsidRDefault="00D7645E" w:rsidP="00FC5808">
            <w:pPr>
              <w:jc w:val="center"/>
              <w:rPr>
                <w:color w:val="000000"/>
                <w:szCs w:val="22"/>
              </w:rPr>
            </w:pPr>
            <w:r w:rsidRPr="00455988">
              <w:rPr>
                <w:color w:val="000000"/>
                <w:sz w:val="22"/>
                <w:szCs w:val="22"/>
              </w:rPr>
              <w:t>3</w:t>
            </w:r>
          </w:p>
        </w:tc>
        <w:tc>
          <w:tcPr>
            <w:tcW w:w="1136" w:type="dxa"/>
            <w:shd w:val="clear" w:color="auto" w:fill="FFFF99"/>
            <w:noWrap/>
            <w:hideMark/>
          </w:tcPr>
          <w:p w:rsidR="00D7645E" w:rsidRPr="00455988" w:rsidRDefault="00D7645E" w:rsidP="00FC5808">
            <w:pPr>
              <w:jc w:val="center"/>
              <w:rPr>
                <w:color w:val="000000"/>
                <w:szCs w:val="22"/>
              </w:rPr>
            </w:pPr>
            <w:r w:rsidRPr="00455988">
              <w:rPr>
                <w:color w:val="000000"/>
                <w:sz w:val="22"/>
                <w:szCs w:val="22"/>
              </w:rPr>
              <w:t>Yes</w:t>
            </w:r>
          </w:p>
        </w:tc>
        <w:tc>
          <w:tcPr>
            <w:tcW w:w="860" w:type="dxa"/>
            <w:shd w:val="clear" w:color="auto" w:fill="FFFF99"/>
            <w:noWrap/>
            <w:hideMark/>
          </w:tcPr>
          <w:p w:rsidR="00D7645E" w:rsidRPr="00455988" w:rsidRDefault="00D7645E" w:rsidP="00FC5808">
            <w:pPr>
              <w:jc w:val="center"/>
              <w:rPr>
                <w:color w:val="000000"/>
                <w:szCs w:val="22"/>
              </w:rPr>
            </w:pPr>
            <w:r w:rsidRPr="00455988">
              <w:rPr>
                <w:color w:val="000000"/>
                <w:sz w:val="22"/>
                <w:szCs w:val="22"/>
              </w:rPr>
              <w:t>84</w:t>
            </w:r>
          </w:p>
        </w:tc>
        <w:tc>
          <w:tcPr>
            <w:tcW w:w="1716" w:type="dxa"/>
            <w:shd w:val="clear" w:color="auto" w:fill="FFFF99"/>
            <w:noWrap/>
            <w:hideMark/>
          </w:tcPr>
          <w:p w:rsidR="00D7645E" w:rsidRPr="00455988" w:rsidRDefault="00BD5FF1" w:rsidP="00FC5808">
            <w:pPr>
              <w:jc w:val="center"/>
              <w:rPr>
                <w:color w:val="000000"/>
                <w:szCs w:val="22"/>
              </w:rPr>
            </w:pPr>
            <w:r>
              <w:rPr>
                <w:color w:val="000000"/>
                <w:sz w:val="22"/>
                <w:szCs w:val="22"/>
              </w:rPr>
              <w:t>2</w:t>
            </w:r>
          </w:p>
        </w:tc>
        <w:tc>
          <w:tcPr>
            <w:tcW w:w="1504" w:type="dxa"/>
            <w:shd w:val="clear" w:color="auto" w:fill="FFFF99"/>
            <w:noWrap/>
          </w:tcPr>
          <w:p w:rsidR="00D7645E" w:rsidRPr="00455988" w:rsidRDefault="00D7645E" w:rsidP="00FC5808">
            <w:pPr>
              <w:jc w:val="center"/>
              <w:rPr>
                <w:color w:val="000000"/>
                <w:szCs w:val="22"/>
              </w:rPr>
            </w:pPr>
          </w:p>
        </w:tc>
        <w:tc>
          <w:tcPr>
            <w:tcW w:w="1097" w:type="dxa"/>
            <w:shd w:val="clear" w:color="auto" w:fill="FFFF99"/>
            <w:noWrap/>
            <w:hideMark/>
          </w:tcPr>
          <w:p w:rsidR="00D7645E" w:rsidRPr="00455988" w:rsidRDefault="00D7645E" w:rsidP="00FC5808">
            <w:pPr>
              <w:jc w:val="center"/>
              <w:rPr>
                <w:color w:val="000000"/>
                <w:szCs w:val="22"/>
              </w:rPr>
            </w:pPr>
            <w:r w:rsidRPr="00455988">
              <w:rPr>
                <w:color w:val="000000"/>
                <w:sz w:val="22"/>
                <w:szCs w:val="22"/>
              </w:rPr>
              <w:t>0.64</w:t>
            </w:r>
          </w:p>
        </w:tc>
        <w:tc>
          <w:tcPr>
            <w:tcW w:w="950" w:type="dxa"/>
            <w:shd w:val="clear" w:color="auto" w:fill="FFFF99"/>
          </w:tcPr>
          <w:p w:rsidR="00D7645E" w:rsidRPr="00455988" w:rsidRDefault="00D7645E" w:rsidP="00FC5808">
            <w:pPr>
              <w:jc w:val="center"/>
              <w:rPr>
                <w:color w:val="000000"/>
                <w:szCs w:val="22"/>
              </w:rPr>
            </w:pPr>
            <w:r w:rsidRPr="00455988">
              <w:rPr>
                <w:color w:val="000000"/>
                <w:sz w:val="22"/>
                <w:szCs w:val="22"/>
              </w:rPr>
              <w:t>Case</w:t>
            </w:r>
          </w:p>
        </w:tc>
      </w:tr>
      <w:tr w:rsidR="00D7645E" w:rsidRPr="009B68B7" w:rsidTr="00BD5FF1">
        <w:trPr>
          <w:trHeight w:val="300"/>
          <w:jc w:val="center"/>
        </w:trPr>
        <w:tc>
          <w:tcPr>
            <w:tcW w:w="110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4</w:t>
            </w:r>
          </w:p>
        </w:tc>
        <w:tc>
          <w:tcPr>
            <w:tcW w:w="1136"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82</w:t>
            </w:r>
          </w:p>
        </w:tc>
        <w:tc>
          <w:tcPr>
            <w:tcW w:w="1716" w:type="dxa"/>
            <w:shd w:val="clear" w:color="auto" w:fill="92D050"/>
            <w:noWrap/>
            <w:hideMark/>
          </w:tcPr>
          <w:p w:rsidR="00D7645E" w:rsidRPr="00455988" w:rsidRDefault="00BD5FF1" w:rsidP="00FC5808">
            <w:pPr>
              <w:jc w:val="center"/>
              <w:rPr>
                <w:color w:val="000000"/>
                <w:szCs w:val="22"/>
              </w:rPr>
            </w:pPr>
            <w:r>
              <w:rPr>
                <w:color w:val="000000"/>
                <w:sz w:val="22"/>
                <w:szCs w:val="22"/>
              </w:rPr>
              <w:t>4</w:t>
            </w:r>
          </w:p>
        </w:tc>
        <w:tc>
          <w:tcPr>
            <w:tcW w:w="1504" w:type="dxa"/>
            <w:shd w:val="clear" w:color="auto" w:fill="92D050"/>
            <w:noWrap/>
          </w:tcPr>
          <w:p w:rsidR="00D7645E" w:rsidRPr="00455988" w:rsidRDefault="00D7645E" w:rsidP="00FC5808">
            <w:pPr>
              <w:jc w:val="center"/>
              <w:rPr>
                <w:color w:val="000000"/>
                <w:szCs w:val="22"/>
              </w:rPr>
            </w:pPr>
          </w:p>
        </w:tc>
        <w:tc>
          <w:tcPr>
            <w:tcW w:w="1097"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0.7</w:t>
            </w:r>
          </w:p>
        </w:tc>
        <w:tc>
          <w:tcPr>
            <w:tcW w:w="950" w:type="dxa"/>
            <w:shd w:val="clear" w:color="auto" w:fill="92D050"/>
          </w:tcPr>
          <w:p w:rsidR="00D7645E" w:rsidRPr="00455988" w:rsidRDefault="00D7645E" w:rsidP="00FC5808">
            <w:pPr>
              <w:jc w:val="center"/>
              <w:rPr>
                <w:color w:val="000000"/>
                <w:szCs w:val="22"/>
              </w:rPr>
            </w:pPr>
            <w:r w:rsidRPr="00455988">
              <w:rPr>
                <w:color w:val="000000"/>
                <w:sz w:val="22"/>
                <w:szCs w:val="22"/>
              </w:rPr>
              <w:t>Control</w:t>
            </w:r>
          </w:p>
        </w:tc>
      </w:tr>
      <w:tr w:rsidR="00D7645E" w:rsidRPr="009B68B7" w:rsidTr="00BD5FF1">
        <w:trPr>
          <w:trHeight w:val="300"/>
          <w:jc w:val="center"/>
        </w:trPr>
        <w:tc>
          <w:tcPr>
            <w:tcW w:w="110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5</w:t>
            </w:r>
          </w:p>
        </w:tc>
        <w:tc>
          <w:tcPr>
            <w:tcW w:w="1136"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78</w:t>
            </w:r>
          </w:p>
        </w:tc>
        <w:tc>
          <w:tcPr>
            <w:tcW w:w="1716" w:type="dxa"/>
            <w:shd w:val="clear" w:color="auto" w:fill="auto"/>
            <w:noWrap/>
            <w:hideMark/>
          </w:tcPr>
          <w:p w:rsidR="00D7645E" w:rsidRPr="00455988" w:rsidRDefault="00D7645E" w:rsidP="00FC5808">
            <w:pPr>
              <w:jc w:val="center"/>
              <w:rPr>
                <w:color w:val="000000"/>
                <w:szCs w:val="22"/>
              </w:rPr>
            </w:pPr>
          </w:p>
        </w:tc>
        <w:tc>
          <w:tcPr>
            <w:tcW w:w="1504" w:type="dxa"/>
            <w:shd w:val="clear" w:color="auto" w:fill="auto"/>
            <w:noWrap/>
          </w:tcPr>
          <w:p w:rsidR="00D7645E" w:rsidRPr="00455988" w:rsidRDefault="00D7645E" w:rsidP="00FC5808">
            <w:pPr>
              <w:jc w:val="center"/>
              <w:rPr>
                <w:color w:val="000000"/>
                <w:szCs w:val="22"/>
              </w:rPr>
            </w:pPr>
          </w:p>
        </w:tc>
        <w:tc>
          <w:tcPr>
            <w:tcW w:w="1097"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0.87</w:t>
            </w:r>
          </w:p>
        </w:tc>
        <w:tc>
          <w:tcPr>
            <w:tcW w:w="950" w:type="dxa"/>
            <w:shd w:val="clear" w:color="auto" w:fill="auto"/>
          </w:tcPr>
          <w:p w:rsidR="00D7645E" w:rsidRPr="00455988" w:rsidRDefault="00D7645E" w:rsidP="00FC5808">
            <w:pPr>
              <w:jc w:val="center"/>
              <w:rPr>
                <w:color w:val="000000"/>
                <w:szCs w:val="22"/>
              </w:rPr>
            </w:pPr>
          </w:p>
        </w:tc>
      </w:tr>
      <w:tr w:rsidR="00D7645E" w:rsidRPr="009B68B7" w:rsidTr="00BD5FF1">
        <w:trPr>
          <w:trHeight w:val="300"/>
          <w:jc w:val="center"/>
        </w:trPr>
        <w:tc>
          <w:tcPr>
            <w:tcW w:w="110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6</w:t>
            </w:r>
          </w:p>
        </w:tc>
        <w:tc>
          <w:tcPr>
            <w:tcW w:w="1136"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80</w:t>
            </w:r>
          </w:p>
        </w:tc>
        <w:tc>
          <w:tcPr>
            <w:tcW w:w="1716" w:type="dxa"/>
            <w:shd w:val="clear" w:color="auto" w:fill="92D050"/>
            <w:noWrap/>
            <w:hideMark/>
          </w:tcPr>
          <w:p w:rsidR="00D7645E" w:rsidRPr="00455988" w:rsidRDefault="00BD5FF1" w:rsidP="00FC5808">
            <w:pPr>
              <w:jc w:val="center"/>
              <w:rPr>
                <w:color w:val="000000"/>
                <w:szCs w:val="22"/>
              </w:rPr>
            </w:pPr>
            <w:r>
              <w:rPr>
                <w:color w:val="000000"/>
                <w:sz w:val="22"/>
                <w:szCs w:val="22"/>
              </w:rPr>
              <w:t>3</w:t>
            </w:r>
          </w:p>
        </w:tc>
        <w:tc>
          <w:tcPr>
            <w:tcW w:w="1504" w:type="dxa"/>
            <w:shd w:val="clear" w:color="auto" w:fill="92D050"/>
            <w:noWrap/>
          </w:tcPr>
          <w:p w:rsidR="00D7645E" w:rsidRPr="00455988" w:rsidRDefault="00D7645E" w:rsidP="00FC5808">
            <w:pPr>
              <w:jc w:val="center"/>
              <w:rPr>
                <w:color w:val="000000"/>
                <w:szCs w:val="22"/>
              </w:rPr>
            </w:pPr>
          </w:p>
        </w:tc>
        <w:tc>
          <w:tcPr>
            <w:tcW w:w="1097"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0.72</w:t>
            </w:r>
          </w:p>
        </w:tc>
        <w:tc>
          <w:tcPr>
            <w:tcW w:w="950" w:type="dxa"/>
            <w:shd w:val="clear" w:color="auto" w:fill="92D050"/>
          </w:tcPr>
          <w:p w:rsidR="00D7645E" w:rsidRPr="00455988" w:rsidRDefault="00D7645E" w:rsidP="00FC5808">
            <w:pPr>
              <w:jc w:val="center"/>
              <w:rPr>
                <w:color w:val="000000"/>
                <w:szCs w:val="22"/>
              </w:rPr>
            </w:pPr>
            <w:r w:rsidRPr="00455988">
              <w:rPr>
                <w:color w:val="000000"/>
                <w:sz w:val="22"/>
                <w:szCs w:val="22"/>
              </w:rPr>
              <w:t>Control</w:t>
            </w:r>
          </w:p>
        </w:tc>
      </w:tr>
      <w:tr w:rsidR="00D7645E" w:rsidRPr="009B68B7" w:rsidTr="00BD5FF1">
        <w:trPr>
          <w:trHeight w:val="300"/>
          <w:jc w:val="center"/>
        </w:trPr>
        <w:tc>
          <w:tcPr>
            <w:tcW w:w="110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7</w:t>
            </w:r>
          </w:p>
        </w:tc>
        <w:tc>
          <w:tcPr>
            <w:tcW w:w="1136"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79</w:t>
            </w:r>
          </w:p>
        </w:tc>
        <w:tc>
          <w:tcPr>
            <w:tcW w:w="1716" w:type="dxa"/>
            <w:shd w:val="clear" w:color="auto" w:fill="auto"/>
            <w:noWrap/>
          </w:tcPr>
          <w:p w:rsidR="00D7645E" w:rsidRPr="00455988" w:rsidRDefault="00D7645E" w:rsidP="00FC5808">
            <w:pPr>
              <w:jc w:val="center"/>
              <w:rPr>
                <w:color w:val="000000"/>
                <w:szCs w:val="22"/>
              </w:rPr>
            </w:pPr>
          </w:p>
        </w:tc>
        <w:tc>
          <w:tcPr>
            <w:tcW w:w="1504" w:type="dxa"/>
            <w:shd w:val="clear" w:color="auto" w:fill="auto"/>
            <w:noWrap/>
          </w:tcPr>
          <w:p w:rsidR="00D7645E" w:rsidRPr="00455988" w:rsidRDefault="00D7645E" w:rsidP="00FC5808">
            <w:pPr>
              <w:jc w:val="center"/>
              <w:rPr>
                <w:color w:val="000000"/>
                <w:szCs w:val="22"/>
              </w:rPr>
            </w:pPr>
          </w:p>
        </w:tc>
        <w:tc>
          <w:tcPr>
            <w:tcW w:w="1097"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0.86</w:t>
            </w:r>
          </w:p>
        </w:tc>
        <w:tc>
          <w:tcPr>
            <w:tcW w:w="950" w:type="dxa"/>
            <w:shd w:val="clear" w:color="auto" w:fill="auto"/>
          </w:tcPr>
          <w:p w:rsidR="00D7645E" w:rsidRPr="00455988" w:rsidRDefault="00D7645E" w:rsidP="00FC5808">
            <w:pPr>
              <w:jc w:val="center"/>
              <w:rPr>
                <w:color w:val="000000"/>
                <w:szCs w:val="22"/>
              </w:rPr>
            </w:pPr>
          </w:p>
        </w:tc>
      </w:tr>
      <w:tr w:rsidR="00D7645E" w:rsidRPr="009B68B7" w:rsidTr="00BD5FF1">
        <w:trPr>
          <w:trHeight w:val="300"/>
          <w:jc w:val="center"/>
        </w:trPr>
        <w:tc>
          <w:tcPr>
            <w:tcW w:w="110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8</w:t>
            </w:r>
          </w:p>
        </w:tc>
        <w:tc>
          <w:tcPr>
            <w:tcW w:w="1136"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64</w:t>
            </w:r>
          </w:p>
        </w:tc>
        <w:tc>
          <w:tcPr>
            <w:tcW w:w="1716" w:type="dxa"/>
            <w:shd w:val="clear" w:color="auto" w:fill="92D050"/>
            <w:noWrap/>
          </w:tcPr>
          <w:p w:rsidR="00D7645E" w:rsidRPr="00455988" w:rsidRDefault="00D7645E" w:rsidP="00FC5808">
            <w:pPr>
              <w:jc w:val="center"/>
              <w:rPr>
                <w:color w:val="000000"/>
                <w:szCs w:val="22"/>
              </w:rPr>
            </w:pPr>
          </w:p>
        </w:tc>
        <w:tc>
          <w:tcPr>
            <w:tcW w:w="1504" w:type="dxa"/>
            <w:shd w:val="clear" w:color="auto" w:fill="92D050"/>
            <w:noWrap/>
          </w:tcPr>
          <w:p w:rsidR="00D7645E" w:rsidRPr="00455988" w:rsidRDefault="00D7645E" w:rsidP="00FC5808">
            <w:pPr>
              <w:jc w:val="center"/>
              <w:rPr>
                <w:color w:val="000000"/>
                <w:szCs w:val="22"/>
              </w:rPr>
            </w:pPr>
          </w:p>
        </w:tc>
        <w:tc>
          <w:tcPr>
            <w:tcW w:w="1097"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0.16</w:t>
            </w:r>
          </w:p>
        </w:tc>
        <w:tc>
          <w:tcPr>
            <w:tcW w:w="950" w:type="dxa"/>
            <w:shd w:val="clear" w:color="auto" w:fill="92D050"/>
          </w:tcPr>
          <w:p w:rsidR="00D7645E" w:rsidRPr="00455988" w:rsidRDefault="00D7645E" w:rsidP="00FC5808">
            <w:pPr>
              <w:jc w:val="center"/>
              <w:rPr>
                <w:color w:val="000000"/>
                <w:szCs w:val="22"/>
              </w:rPr>
            </w:pPr>
            <w:r w:rsidRPr="00455988">
              <w:rPr>
                <w:color w:val="000000"/>
                <w:sz w:val="22"/>
                <w:szCs w:val="22"/>
              </w:rPr>
              <w:t>Control</w:t>
            </w:r>
          </w:p>
        </w:tc>
      </w:tr>
      <w:tr w:rsidR="00D7645E" w:rsidRPr="009B68B7" w:rsidTr="00BD5FF1">
        <w:trPr>
          <w:trHeight w:val="300"/>
          <w:jc w:val="center"/>
        </w:trPr>
        <w:tc>
          <w:tcPr>
            <w:tcW w:w="110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9</w:t>
            </w:r>
          </w:p>
        </w:tc>
        <w:tc>
          <w:tcPr>
            <w:tcW w:w="1136"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No</w:t>
            </w:r>
          </w:p>
        </w:tc>
        <w:tc>
          <w:tcPr>
            <w:tcW w:w="860"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70</w:t>
            </w:r>
          </w:p>
        </w:tc>
        <w:tc>
          <w:tcPr>
            <w:tcW w:w="1716" w:type="dxa"/>
            <w:shd w:val="clear" w:color="auto" w:fill="92D050"/>
            <w:noWrap/>
          </w:tcPr>
          <w:p w:rsidR="00D7645E" w:rsidRPr="00455988" w:rsidRDefault="00D7645E" w:rsidP="00FC5808">
            <w:pPr>
              <w:jc w:val="center"/>
              <w:rPr>
                <w:color w:val="000000"/>
                <w:szCs w:val="22"/>
              </w:rPr>
            </w:pPr>
          </w:p>
        </w:tc>
        <w:tc>
          <w:tcPr>
            <w:tcW w:w="1504" w:type="dxa"/>
            <w:shd w:val="clear" w:color="auto" w:fill="92D050"/>
            <w:noWrap/>
            <w:hideMark/>
          </w:tcPr>
          <w:p w:rsidR="00D7645E" w:rsidRPr="00455988" w:rsidRDefault="00BD5FF1" w:rsidP="00FC5808">
            <w:pPr>
              <w:jc w:val="center"/>
              <w:rPr>
                <w:color w:val="000000"/>
                <w:szCs w:val="22"/>
              </w:rPr>
            </w:pPr>
            <w:r>
              <w:rPr>
                <w:color w:val="000000"/>
                <w:sz w:val="22"/>
                <w:szCs w:val="22"/>
              </w:rPr>
              <w:t>2</w:t>
            </w:r>
          </w:p>
        </w:tc>
        <w:tc>
          <w:tcPr>
            <w:tcW w:w="1097" w:type="dxa"/>
            <w:shd w:val="clear" w:color="auto" w:fill="92D050"/>
            <w:noWrap/>
            <w:hideMark/>
          </w:tcPr>
          <w:p w:rsidR="00D7645E" w:rsidRPr="00455988" w:rsidRDefault="00D7645E" w:rsidP="00FC5808">
            <w:pPr>
              <w:jc w:val="center"/>
              <w:rPr>
                <w:color w:val="000000"/>
                <w:szCs w:val="22"/>
              </w:rPr>
            </w:pPr>
            <w:r w:rsidRPr="00455988">
              <w:rPr>
                <w:color w:val="000000"/>
                <w:sz w:val="22"/>
                <w:szCs w:val="22"/>
              </w:rPr>
              <w:t>0.17</w:t>
            </w:r>
          </w:p>
        </w:tc>
        <w:tc>
          <w:tcPr>
            <w:tcW w:w="950" w:type="dxa"/>
            <w:shd w:val="clear" w:color="auto" w:fill="92D050"/>
          </w:tcPr>
          <w:p w:rsidR="00D7645E" w:rsidRPr="00455988" w:rsidRDefault="00D7645E" w:rsidP="00FC5808">
            <w:pPr>
              <w:jc w:val="center"/>
              <w:rPr>
                <w:color w:val="000000"/>
                <w:szCs w:val="22"/>
              </w:rPr>
            </w:pPr>
            <w:r w:rsidRPr="00455988">
              <w:rPr>
                <w:color w:val="000000"/>
                <w:sz w:val="22"/>
                <w:szCs w:val="22"/>
              </w:rPr>
              <w:t>Control</w:t>
            </w:r>
          </w:p>
        </w:tc>
      </w:tr>
      <w:tr w:rsidR="00D7645E" w:rsidRPr="009B68B7" w:rsidTr="00FC5808">
        <w:trPr>
          <w:trHeight w:val="300"/>
          <w:jc w:val="center"/>
        </w:trPr>
        <w:tc>
          <w:tcPr>
            <w:tcW w:w="8363" w:type="dxa"/>
            <w:gridSpan w:val="7"/>
            <w:shd w:val="clear" w:color="auto" w:fill="auto"/>
            <w:noWrap/>
            <w:hideMark/>
          </w:tcPr>
          <w:p w:rsidR="00D7645E" w:rsidRPr="00455988" w:rsidRDefault="00D7645E" w:rsidP="00FC5808">
            <w:pPr>
              <w:rPr>
                <w:color w:val="000000"/>
                <w:szCs w:val="22"/>
              </w:rPr>
            </w:pPr>
          </w:p>
        </w:tc>
      </w:tr>
      <w:tr w:rsidR="00D7645E" w:rsidRPr="009B68B7" w:rsidTr="00FC5808">
        <w:trPr>
          <w:trHeight w:val="300"/>
          <w:jc w:val="center"/>
        </w:trPr>
        <w:tc>
          <w:tcPr>
            <w:tcW w:w="2236" w:type="dxa"/>
            <w:gridSpan w:val="2"/>
            <w:shd w:val="clear" w:color="auto" w:fill="auto"/>
            <w:hideMark/>
          </w:tcPr>
          <w:p w:rsidR="00D7645E" w:rsidRPr="00455988" w:rsidRDefault="00D7645E" w:rsidP="00FC5808">
            <w:pPr>
              <w:jc w:val="center"/>
              <w:rPr>
                <w:b/>
                <w:bCs/>
                <w:color w:val="000000"/>
                <w:szCs w:val="22"/>
              </w:rPr>
            </w:pPr>
            <w:r w:rsidRPr="00455988">
              <w:rPr>
                <w:b/>
                <w:bCs/>
                <w:color w:val="000000"/>
                <w:sz w:val="22"/>
                <w:szCs w:val="22"/>
              </w:rPr>
              <w:t>Standard Deviation</w:t>
            </w:r>
          </w:p>
        </w:tc>
        <w:tc>
          <w:tcPr>
            <w:tcW w:w="860" w:type="dxa"/>
            <w:shd w:val="clear" w:color="auto" w:fill="auto"/>
            <w:noWrap/>
            <w:hideMark/>
          </w:tcPr>
          <w:p w:rsidR="00D7645E" w:rsidRPr="00455988" w:rsidRDefault="00D7645E" w:rsidP="00FC5808">
            <w:pPr>
              <w:jc w:val="center"/>
              <w:rPr>
                <w:color w:val="000000"/>
                <w:szCs w:val="22"/>
              </w:rPr>
            </w:pPr>
            <w:r w:rsidRPr="00455988">
              <w:rPr>
                <w:color w:val="000000"/>
                <w:sz w:val="22"/>
                <w:szCs w:val="22"/>
              </w:rPr>
              <w:t>8.89</w:t>
            </w:r>
          </w:p>
        </w:tc>
        <w:tc>
          <w:tcPr>
            <w:tcW w:w="5267" w:type="dxa"/>
            <w:gridSpan w:val="4"/>
            <w:shd w:val="clear" w:color="auto" w:fill="auto"/>
            <w:noWrap/>
            <w:hideMark/>
          </w:tcPr>
          <w:p w:rsidR="00D7645E" w:rsidRPr="00455988" w:rsidRDefault="00D7645E" w:rsidP="00FC5808">
            <w:pPr>
              <w:rPr>
                <w:color w:val="000000"/>
                <w:szCs w:val="22"/>
              </w:rPr>
            </w:pPr>
          </w:p>
        </w:tc>
      </w:tr>
    </w:tbl>
    <w:p w:rsidR="00D7645E" w:rsidRDefault="00D7645E" w:rsidP="00D7645E">
      <w:pPr>
        <w:pStyle w:val="TextTimesRom11"/>
        <w:tabs>
          <w:tab w:val="left" w:pos="1701"/>
          <w:tab w:val="left" w:pos="4678"/>
        </w:tabs>
        <w:spacing w:after="120" w:line="276" w:lineRule="auto"/>
        <w:ind w:left="0"/>
        <w:jc w:val="center"/>
        <w:rPr>
          <w:noProof/>
        </w:rPr>
      </w:pPr>
    </w:p>
    <w:p w:rsidR="000967C6" w:rsidRDefault="00D7645E" w:rsidP="00D7645E">
      <w:pPr>
        <w:pStyle w:val="TextTimesRom11"/>
        <w:tabs>
          <w:tab w:val="left" w:pos="1701"/>
          <w:tab w:val="left" w:pos="4678"/>
        </w:tabs>
        <w:spacing w:after="120" w:line="276" w:lineRule="auto"/>
        <w:ind w:left="0"/>
      </w:pPr>
      <w:r>
        <w:rPr>
          <w:noProof/>
        </w:rPr>
        <w:t xml:space="preserve">Suppose we need to randomly select two controls for each case.  For case 1, we select the two controls with the lowest random number, these are </w:t>
      </w:r>
      <w:r w:rsidR="00733167">
        <w:rPr>
          <w:noProof/>
        </w:rPr>
        <w:t>cases</w:t>
      </w:r>
      <w:r>
        <w:rPr>
          <w:noProof/>
        </w:rPr>
        <w:t xml:space="preserve"> 8 and 9.  For case 2, we also select the two controls with the lowest random number; these are </w:t>
      </w:r>
      <w:r w:rsidR="00733167">
        <w:rPr>
          <w:noProof/>
        </w:rPr>
        <w:t>cases</w:t>
      </w:r>
      <w:r>
        <w:rPr>
          <w:noProof/>
        </w:rPr>
        <w:t xml:space="preserve"> 4 and 6.  </w:t>
      </w:r>
      <w:r w:rsidR="000967C6">
        <w:t>Let’s look at the calculations for this example step-by-step.</w:t>
      </w:r>
    </w:p>
    <w:p w:rsidR="000967C6" w:rsidRDefault="000967C6" w:rsidP="004D1234">
      <w:pPr>
        <w:pStyle w:val="TextTimesRom11"/>
        <w:tabs>
          <w:tab w:val="left" w:pos="720"/>
          <w:tab w:val="left" w:pos="1440"/>
          <w:tab w:val="left" w:pos="4678"/>
        </w:tabs>
        <w:spacing w:after="120" w:line="276" w:lineRule="auto"/>
        <w:ind w:left="720"/>
      </w:pPr>
      <w:r w:rsidRPr="004D1234">
        <w:rPr>
          <w:b/>
        </w:rPr>
        <w:t>Step 1</w:t>
      </w:r>
      <w:r>
        <w:t xml:space="preserve">: </w:t>
      </w:r>
      <w:r>
        <w:tab/>
        <w:t xml:space="preserve">Calculate the standard deviation for age across all nine patients. </w:t>
      </w:r>
    </w:p>
    <w:p w:rsidR="00733167" w:rsidRDefault="004206FF" w:rsidP="004206FF">
      <w:pPr>
        <w:pStyle w:val="TextTimesRom11"/>
        <w:tabs>
          <w:tab w:val="left" w:pos="720"/>
          <w:tab w:val="left" w:pos="1701"/>
          <w:tab w:val="left" w:pos="4678"/>
        </w:tabs>
        <w:spacing w:after="120" w:line="276" w:lineRule="auto"/>
        <w:ind w:left="720"/>
      </w:pPr>
      <w:r>
        <w:t xml:space="preserve">The average age in Table </w:t>
      </w:r>
      <w:r w:rsidR="00BA66F8">
        <w:t>2</w:t>
      </w:r>
      <w:r>
        <w:t xml:space="preserve"> is 73.6 years.  The standard deviation</w:t>
      </w:r>
      <w:r w:rsidR="00C406A8">
        <w:t>, S,</w:t>
      </w:r>
      <w:r>
        <w:t xml:space="preserve"> can be calculated using the formula</w:t>
      </w:r>
      <w:r w:rsidR="00733167">
        <w:t xml:space="preserve">: </w:t>
      </w:r>
    </w:p>
    <w:p w:rsidR="004206FF" w:rsidRDefault="00733167" w:rsidP="00733167">
      <w:pPr>
        <w:pStyle w:val="TextTimesRom11"/>
        <w:tabs>
          <w:tab w:val="left" w:pos="720"/>
          <w:tab w:val="left" w:pos="1701"/>
          <w:tab w:val="left" w:pos="4678"/>
        </w:tabs>
        <w:spacing w:after="120" w:line="276" w:lineRule="auto"/>
        <w:ind w:left="720"/>
        <w:jc w:val="center"/>
      </w:pPr>
      <m:oMathPara>
        <m:oMath>
          <m:r>
            <w:rPr>
              <w:rFonts w:ascii="Cambria Math" w:hAnsi="Cambria Math"/>
            </w:rPr>
            <m:t>S=</m:t>
          </m:r>
          <m:rad>
            <m:radPr>
              <m:degHide m:val="on"/>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e>
                  </m:nary>
                </m:num>
                <m:den>
                  <m:r>
                    <w:rPr>
                      <w:rFonts w:ascii="Cambria Math" w:hAnsi="Cambria Math"/>
                    </w:rPr>
                    <m:t>n-1</m:t>
                  </m:r>
                </m:den>
              </m:f>
            </m:e>
          </m:rad>
        </m:oMath>
      </m:oMathPara>
    </w:p>
    <w:p w:rsidR="008B3085" w:rsidRDefault="00D324F0" w:rsidP="000967C6">
      <w:pPr>
        <w:pStyle w:val="TextTimesRom11"/>
        <w:tabs>
          <w:tab w:val="left" w:pos="720"/>
          <w:tab w:val="left" w:pos="1701"/>
          <w:tab w:val="left" w:pos="4678"/>
        </w:tabs>
        <w:spacing w:after="120" w:line="276" w:lineRule="auto"/>
        <w:ind w:left="0"/>
      </w:pPr>
      <w:r>
        <w:tab/>
      </w:r>
      <w:r w:rsidR="00733167">
        <w:t xml:space="preserve">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733167">
        <w:t xml:space="preserve"> is the i</w:t>
      </w:r>
      <w:proofErr w:type="spellStart"/>
      <w:r w:rsidR="00733167" w:rsidRPr="00C406A8">
        <w:rPr>
          <w:vertAlign w:val="superscript"/>
        </w:rPr>
        <w:t>th</w:t>
      </w:r>
      <w:proofErr w:type="spellEnd"/>
      <w:r w:rsidR="00733167">
        <w:t xml:space="preserve"> observation from n </w:t>
      </w:r>
      <w:proofErr w:type="gramStart"/>
      <w:r w:rsidR="00733167">
        <w:t>observations.</w:t>
      </w:r>
      <w:proofErr w:type="gramEnd"/>
      <w:r w:rsidR="00733167">
        <w:t xml:space="preserve">  </w:t>
      </w:r>
      <m:oMath>
        <m:acc>
          <m:accPr>
            <m:chr m:val="̅"/>
            <m:ctrlPr>
              <w:rPr>
                <w:rFonts w:ascii="Cambria Math" w:hAnsi="Cambria Math"/>
                <w:i/>
              </w:rPr>
            </m:ctrlPr>
          </m:accPr>
          <m:e>
            <m:r>
              <w:rPr>
                <w:rFonts w:ascii="Cambria Math" w:hAnsi="Cambria Math"/>
              </w:rPr>
              <m:t>x</m:t>
            </m:r>
          </m:e>
        </m:acc>
      </m:oMath>
      <w:r w:rsidR="00733167">
        <w:t xml:space="preserve"> </w:t>
      </w:r>
      <w:proofErr w:type="gramStart"/>
      <w:r w:rsidR="00733167">
        <w:t>is</w:t>
      </w:r>
      <w:proofErr w:type="gramEnd"/>
      <w:r w:rsidR="00733167">
        <w:t xml:space="preserve"> the </w:t>
      </w:r>
      <w:r w:rsidR="00C406A8">
        <w:t xml:space="preserve">average of the observations.  </w:t>
      </w:r>
    </w:p>
    <w:p w:rsidR="008B3085" w:rsidRDefault="00C406A8" w:rsidP="000967C6">
      <w:pPr>
        <w:pStyle w:val="TextTimesRom11"/>
        <w:tabs>
          <w:tab w:val="left" w:pos="720"/>
          <w:tab w:val="left" w:pos="1701"/>
          <w:tab w:val="left" w:pos="4678"/>
        </w:tabs>
        <w:spacing w:after="120" w:line="276" w:lineRule="auto"/>
        <w:ind w:left="0"/>
      </w:pPr>
      <m:oMathPara>
        <m:oMath>
          <m:r>
            <w:rPr>
              <w:rFonts w:ascii="Cambria Math" w:hAnsi="Cambria Math"/>
            </w:rPr>
            <m:t>S=</m:t>
          </m:r>
          <m:rad>
            <m:radPr>
              <m:degHide m:val="on"/>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(65-73.6)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(60-73.6)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(70-73.6)</m:t>
                      </m:r>
                    </m:e>
                    <m:sup>
                      <m:r>
                        <w:rPr>
                          <w:rFonts w:ascii="Cambria Math" w:hAnsi="Cambria Math"/>
                        </w:rPr>
                        <m:t>2</m:t>
                      </m:r>
                    </m:sup>
                  </m:sSup>
                </m:num>
                <m:den>
                  <m:r>
                    <w:rPr>
                      <w:rFonts w:ascii="Cambria Math" w:hAnsi="Cambria Math"/>
                    </w:rPr>
                    <m:t>9-1</m:t>
                  </m:r>
                </m:den>
              </m:f>
            </m:e>
          </m:rad>
          <m:r>
            <w:rPr>
              <w:rFonts w:ascii="Cambria Math" w:hAnsi="Cambria Math"/>
            </w:rPr>
            <m:t>=8.89</m:t>
          </m:r>
        </m:oMath>
      </m:oMathPara>
    </w:p>
    <w:p w:rsidR="000967C6" w:rsidRDefault="000967C6" w:rsidP="004D1234">
      <w:pPr>
        <w:pStyle w:val="TextTimesRom11"/>
        <w:tabs>
          <w:tab w:val="left" w:pos="720"/>
          <w:tab w:val="left" w:pos="1440"/>
          <w:tab w:val="left" w:pos="4678"/>
        </w:tabs>
        <w:spacing w:after="120" w:line="276" w:lineRule="auto"/>
        <w:ind w:left="720"/>
      </w:pPr>
      <w:r w:rsidRPr="004D1234">
        <w:rPr>
          <w:b/>
        </w:rPr>
        <w:t>Step 2</w:t>
      </w:r>
      <w:r>
        <w:t>:</w:t>
      </w:r>
      <w:r>
        <w:tab/>
        <w:t xml:space="preserve">For each </w:t>
      </w:r>
      <w:r w:rsidR="00230423">
        <w:t>patient that received treatment</w:t>
      </w:r>
      <w:r>
        <w:t xml:space="preserve"> </w:t>
      </w:r>
      <w:r w:rsidR="00230423">
        <w:t>calculate a one standard deviation interval based on their age</w:t>
      </w:r>
      <w:r w:rsidR="00BA66F8">
        <w:t xml:space="preserve"> (see Table 4)</w:t>
      </w:r>
      <w:r w:rsidR="00230423">
        <w:t xml:space="preserve">. </w:t>
      </w:r>
      <w:r>
        <w:t xml:space="preserve">    </w:t>
      </w:r>
    </w:p>
    <w:p w:rsidR="00C406A8" w:rsidRPr="00C406A8" w:rsidRDefault="00C406A8" w:rsidP="00C406A8">
      <w:pPr>
        <w:pStyle w:val="TextTimesRom11"/>
        <w:tabs>
          <w:tab w:val="left" w:pos="720"/>
          <w:tab w:val="left" w:pos="1440"/>
          <w:tab w:val="left" w:pos="4678"/>
        </w:tabs>
        <w:ind w:left="720"/>
        <w:jc w:val="center"/>
        <w:rPr>
          <w:b/>
        </w:rPr>
      </w:pPr>
      <w:r w:rsidRPr="00C406A8">
        <w:rPr>
          <w:b/>
        </w:rPr>
        <w:t xml:space="preserve">Table </w:t>
      </w:r>
      <w:r w:rsidR="00BA66F8">
        <w:rPr>
          <w:b/>
        </w:rPr>
        <w:t>4</w:t>
      </w:r>
      <w:r w:rsidRPr="00C406A8">
        <w:rPr>
          <w:b/>
        </w:rPr>
        <w:t>:  Sample Calculations of Matching Controls to Age of Cases</w:t>
      </w:r>
    </w:p>
    <w:tbl>
      <w:tblPr>
        <w:tblStyle w:val="TableGrid"/>
        <w:tblW w:w="0" w:type="auto"/>
        <w:tblInd w:w="828" w:type="dxa"/>
        <w:tblLook w:val="04A0"/>
      </w:tblPr>
      <w:tblGrid>
        <w:gridCol w:w="1458"/>
        <w:gridCol w:w="1800"/>
        <w:gridCol w:w="2574"/>
        <w:gridCol w:w="2574"/>
      </w:tblGrid>
      <w:tr w:rsidR="004206FF" w:rsidTr="008B3085">
        <w:tc>
          <w:tcPr>
            <w:tcW w:w="1458" w:type="dxa"/>
          </w:tcPr>
          <w:p w:rsidR="008B3085" w:rsidRDefault="008B3085" w:rsidP="008B3085">
            <w:pPr>
              <w:pStyle w:val="TextTimesRom11"/>
              <w:tabs>
                <w:tab w:val="left" w:pos="720"/>
                <w:tab w:val="left" w:pos="1701"/>
                <w:tab w:val="left" w:pos="4678"/>
              </w:tabs>
              <w:spacing w:after="120"/>
              <w:ind w:left="0"/>
              <w:jc w:val="center"/>
            </w:pPr>
            <w:r>
              <w:t>Case Patients</w:t>
            </w:r>
          </w:p>
        </w:tc>
        <w:tc>
          <w:tcPr>
            <w:tcW w:w="1800" w:type="dxa"/>
          </w:tcPr>
          <w:p w:rsidR="008B3085" w:rsidRDefault="00C406A8" w:rsidP="00C406A8">
            <w:pPr>
              <w:pStyle w:val="TextTimesRom11"/>
              <w:tabs>
                <w:tab w:val="left" w:pos="720"/>
                <w:tab w:val="left" w:pos="1701"/>
                <w:tab w:val="left" w:pos="4678"/>
              </w:tabs>
              <w:spacing w:after="120"/>
              <w:ind w:left="0"/>
              <w:jc w:val="center"/>
            </w:pPr>
            <w:r>
              <w:t xml:space="preserve">Control </w:t>
            </w:r>
            <w:r w:rsidR="008B3085">
              <w:t>Case Age</w:t>
            </w:r>
          </w:p>
        </w:tc>
        <w:tc>
          <w:tcPr>
            <w:tcW w:w="2574" w:type="dxa"/>
          </w:tcPr>
          <w:p w:rsidR="008B3085" w:rsidRDefault="008B3085" w:rsidP="008B3085">
            <w:pPr>
              <w:pStyle w:val="TextTimesRom11"/>
              <w:tabs>
                <w:tab w:val="left" w:pos="720"/>
                <w:tab w:val="left" w:pos="1701"/>
                <w:tab w:val="left" w:pos="4678"/>
              </w:tabs>
              <w:spacing w:after="120"/>
              <w:ind w:left="0"/>
              <w:jc w:val="center"/>
            </w:pPr>
            <w:r>
              <w:t>Age – One Std. Deviation</w:t>
            </w:r>
          </w:p>
        </w:tc>
        <w:tc>
          <w:tcPr>
            <w:tcW w:w="2574" w:type="dxa"/>
          </w:tcPr>
          <w:p w:rsidR="008B3085" w:rsidRDefault="008B3085" w:rsidP="008B3085">
            <w:pPr>
              <w:pStyle w:val="TextTimesRom11"/>
              <w:tabs>
                <w:tab w:val="left" w:pos="720"/>
                <w:tab w:val="left" w:pos="1701"/>
                <w:tab w:val="left" w:pos="4678"/>
              </w:tabs>
              <w:spacing w:after="120"/>
              <w:ind w:left="0"/>
              <w:jc w:val="center"/>
            </w:pPr>
            <w:r>
              <w:t>Age + One Std. Deviation</w:t>
            </w:r>
          </w:p>
        </w:tc>
      </w:tr>
      <w:tr w:rsidR="004206FF" w:rsidTr="008B3085">
        <w:tc>
          <w:tcPr>
            <w:tcW w:w="1458" w:type="dxa"/>
          </w:tcPr>
          <w:p w:rsidR="008B3085" w:rsidRDefault="008B3085" w:rsidP="008B3085">
            <w:pPr>
              <w:pStyle w:val="TextTimesRom11"/>
              <w:tabs>
                <w:tab w:val="left" w:pos="720"/>
                <w:tab w:val="left" w:pos="1701"/>
                <w:tab w:val="left" w:pos="4678"/>
              </w:tabs>
              <w:spacing w:after="120"/>
              <w:ind w:left="0"/>
              <w:jc w:val="center"/>
            </w:pPr>
            <w:r>
              <w:t>Patient 1</w:t>
            </w:r>
          </w:p>
        </w:tc>
        <w:tc>
          <w:tcPr>
            <w:tcW w:w="1800" w:type="dxa"/>
          </w:tcPr>
          <w:p w:rsidR="008B3085" w:rsidRDefault="008B3085" w:rsidP="008B3085">
            <w:pPr>
              <w:pStyle w:val="TextTimesRom11"/>
              <w:tabs>
                <w:tab w:val="left" w:pos="720"/>
                <w:tab w:val="left" w:pos="1701"/>
                <w:tab w:val="left" w:pos="4678"/>
              </w:tabs>
              <w:spacing w:after="120"/>
              <w:ind w:left="0"/>
              <w:jc w:val="center"/>
            </w:pPr>
            <w:r>
              <w:t>65</w:t>
            </w:r>
          </w:p>
        </w:tc>
        <w:tc>
          <w:tcPr>
            <w:tcW w:w="2574" w:type="dxa"/>
          </w:tcPr>
          <w:p w:rsidR="008B3085" w:rsidRDefault="008B3085" w:rsidP="00C406A8">
            <w:pPr>
              <w:pStyle w:val="TextTimesRom11"/>
              <w:tabs>
                <w:tab w:val="left" w:pos="720"/>
                <w:tab w:val="left" w:pos="1701"/>
                <w:tab w:val="left" w:pos="4678"/>
              </w:tabs>
              <w:spacing w:after="120"/>
              <w:ind w:left="0"/>
              <w:jc w:val="center"/>
            </w:pPr>
            <w:r>
              <w:t xml:space="preserve">65 </w:t>
            </w:r>
            <w:r w:rsidR="00C406A8">
              <w:t>–</w:t>
            </w:r>
            <w:r>
              <w:t xml:space="preserve"> </w:t>
            </w:r>
            <w:r w:rsidR="00C406A8">
              <w:t>8.89</w:t>
            </w:r>
            <w:r>
              <w:t xml:space="preserve"> = 56</w:t>
            </w:r>
            <w:r w:rsidR="00C406A8">
              <w:t>.1</w:t>
            </w:r>
          </w:p>
        </w:tc>
        <w:tc>
          <w:tcPr>
            <w:tcW w:w="2574" w:type="dxa"/>
          </w:tcPr>
          <w:p w:rsidR="008B3085" w:rsidRDefault="008B3085" w:rsidP="00C406A8">
            <w:pPr>
              <w:pStyle w:val="TextTimesRom11"/>
              <w:tabs>
                <w:tab w:val="left" w:pos="720"/>
                <w:tab w:val="left" w:pos="1701"/>
                <w:tab w:val="left" w:pos="4678"/>
              </w:tabs>
              <w:spacing w:after="120"/>
              <w:ind w:left="0"/>
              <w:jc w:val="center"/>
            </w:pPr>
            <w:r>
              <w:t xml:space="preserve">65 + </w:t>
            </w:r>
            <w:r w:rsidR="00C406A8">
              <w:t>8.89</w:t>
            </w:r>
            <w:r>
              <w:t xml:space="preserve"> = 7</w:t>
            </w:r>
            <w:r w:rsidR="00C406A8">
              <w:t>3.9</w:t>
            </w:r>
          </w:p>
        </w:tc>
      </w:tr>
      <w:tr w:rsidR="004206FF" w:rsidTr="008B3085">
        <w:tc>
          <w:tcPr>
            <w:tcW w:w="1458" w:type="dxa"/>
          </w:tcPr>
          <w:p w:rsidR="008B3085" w:rsidRDefault="008B3085" w:rsidP="008B3085">
            <w:pPr>
              <w:pStyle w:val="TextTimesRom11"/>
              <w:tabs>
                <w:tab w:val="left" w:pos="720"/>
                <w:tab w:val="left" w:pos="1701"/>
                <w:tab w:val="left" w:pos="4678"/>
              </w:tabs>
              <w:spacing w:after="120"/>
              <w:ind w:left="0"/>
              <w:jc w:val="center"/>
            </w:pPr>
            <w:r>
              <w:t>Patient 3</w:t>
            </w:r>
          </w:p>
        </w:tc>
        <w:tc>
          <w:tcPr>
            <w:tcW w:w="1800" w:type="dxa"/>
          </w:tcPr>
          <w:p w:rsidR="008B3085" w:rsidRDefault="008B3085" w:rsidP="008B3085">
            <w:pPr>
              <w:pStyle w:val="TextTimesRom11"/>
              <w:tabs>
                <w:tab w:val="left" w:pos="720"/>
                <w:tab w:val="left" w:pos="1701"/>
                <w:tab w:val="left" w:pos="4678"/>
              </w:tabs>
              <w:spacing w:after="120"/>
              <w:ind w:left="0"/>
              <w:jc w:val="center"/>
            </w:pPr>
            <w:r>
              <w:t>84</w:t>
            </w:r>
          </w:p>
        </w:tc>
        <w:tc>
          <w:tcPr>
            <w:tcW w:w="2574" w:type="dxa"/>
          </w:tcPr>
          <w:p w:rsidR="008B3085" w:rsidRDefault="008B3085" w:rsidP="00C406A8">
            <w:pPr>
              <w:pStyle w:val="TextTimesRom11"/>
              <w:tabs>
                <w:tab w:val="left" w:pos="720"/>
                <w:tab w:val="left" w:pos="1701"/>
                <w:tab w:val="left" w:pos="4678"/>
              </w:tabs>
              <w:spacing w:after="120"/>
              <w:ind w:left="0"/>
              <w:jc w:val="center"/>
            </w:pPr>
            <w:r>
              <w:t xml:space="preserve">84 – </w:t>
            </w:r>
            <w:r w:rsidR="00C406A8">
              <w:t>8.89</w:t>
            </w:r>
            <w:r>
              <w:t xml:space="preserve"> = 75</w:t>
            </w:r>
            <w:r w:rsidR="00C406A8">
              <w:t>.1</w:t>
            </w:r>
          </w:p>
        </w:tc>
        <w:tc>
          <w:tcPr>
            <w:tcW w:w="2574" w:type="dxa"/>
          </w:tcPr>
          <w:p w:rsidR="008B3085" w:rsidRDefault="008B3085" w:rsidP="00C406A8">
            <w:pPr>
              <w:pStyle w:val="TextTimesRom11"/>
              <w:tabs>
                <w:tab w:val="left" w:pos="720"/>
                <w:tab w:val="left" w:pos="1701"/>
                <w:tab w:val="left" w:pos="4678"/>
              </w:tabs>
              <w:spacing w:after="120"/>
              <w:ind w:left="0"/>
              <w:jc w:val="center"/>
            </w:pPr>
            <w:r>
              <w:t xml:space="preserve">84 + </w:t>
            </w:r>
            <w:r w:rsidR="00C406A8">
              <w:t>8.8</w:t>
            </w:r>
            <w:r>
              <w:t>9 = 9</w:t>
            </w:r>
            <w:r w:rsidR="00C406A8">
              <w:t>2.9</w:t>
            </w:r>
          </w:p>
        </w:tc>
      </w:tr>
    </w:tbl>
    <w:p w:rsidR="008B3085" w:rsidRDefault="008B3085" w:rsidP="000967C6">
      <w:pPr>
        <w:pStyle w:val="TextTimesRom11"/>
        <w:tabs>
          <w:tab w:val="left" w:pos="720"/>
          <w:tab w:val="left" w:pos="1701"/>
          <w:tab w:val="left" w:pos="4678"/>
        </w:tabs>
        <w:spacing w:after="120" w:line="276" w:lineRule="auto"/>
        <w:ind w:left="0"/>
      </w:pPr>
    </w:p>
    <w:p w:rsidR="00230423" w:rsidRDefault="00230423" w:rsidP="00230423">
      <w:pPr>
        <w:pStyle w:val="TextTimesRom11"/>
        <w:tabs>
          <w:tab w:val="left" w:pos="720"/>
          <w:tab w:val="left" w:pos="1440"/>
          <w:tab w:val="left" w:pos="4678"/>
        </w:tabs>
        <w:spacing w:after="120" w:line="276" w:lineRule="auto"/>
        <w:ind w:left="720"/>
      </w:pPr>
      <w:r>
        <w:rPr>
          <w:b/>
        </w:rPr>
        <w:t>Step 3</w:t>
      </w:r>
      <w:r>
        <w:t>:</w:t>
      </w:r>
      <w:r>
        <w:tab/>
      </w:r>
      <w:r w:rsidR="00C406A8">
        <w:t>Select as c</w:t>
      </w:r>
      <w:r>
        <w:t>ontrol</w:t>
      </w:r>
      <w:r w:rsidR="00C406A8">
        <w:t xml:space="preserve">, patients </w:t>
      </w:r>
      <w:r>
        <w:t xml:space="preserve">who fall within one standard deviation of </w:t>
      </w:r>
      <w:r w:rsidR="00C406A8">
        <w:t>the age of the case</w:t>
      </w:r>
      <w:r>
        <w:t xml:space="preserve">.    </w:t>
      </w:r>
    </w:p>
    <w:p w:rsidR="004206FF" w:rsidRDefault="004206FF" w:rsidP="004D1234">
      <w:pPr>
        <w:pStyle w:val="TextTimesRom11"/>
        <w:numPr>
          <w:ilvl w:val="0"/>
          <w:numId w:val="7"/>
        </w:numPr>
        <w:tabs>
          <w:tab w:val="left" w:pos="720"/>
          <w:tab w:val="left" w:pos="1701"/>
          <w:tab w:val="left" w:pos="4678"/>
        </w:tabs>
        <w:spacing w:after="120" w:line="276" w:lineRule="auto"/>
      </w:pPr>
      <w:r>
        <w:t>Patient 1 is the first Case Patient</w:t>
      </w:r>
      <w:r w:rsidR="007016E6">
        <w:t xml:space="preserve"> with an age of 65.  Patients </w:t>
      </w:r>
      <w:r>
        <w:t xml:space="preserve">2, 8, and 9 </w:t>
      </w:r>
      <w:r w:rsidR="007016E6">
        <w:t xml:space="preserve">all fall within one standard deviation of this age. </w:t>
      </w:r>
    </w:p>
    <w:p w:rsidR="007016E6" w:rsidRDefault="007016E6" w:rsidP="004D1234">
      <w:pPr>
        <w:pStyle w:val="TextTimesRom11"/>
        <w:numPr>
          <w:ilvl w:val="0"/>
          <w:numId w:val="7"/>
        </w:numPr>
        <w:tabs>
          <w:tab w:val="left" w:pos="720"/>
          <w:tab w:val="left" w:pos="1701"/>
          <w:tab w:val="left" w:pos="4678"/>
        </w:tabs>
        <w:spacing w:after="120" w:line="276" w:lineRule="auto"/>
      </w:pPr>
      <w:r>
        <w:t>Patient 3 is the second Case patient with an age of 84.  Patients 4,</w:t>
      </w:r>
      <w:r w:rsidR="009774AE">
        <w:t xml:space="preserve"> </w:t>
      </w:r>
      <w:r>
        <w:t>5,</w:t>
      </w:r>
      <w:r w:rsidR="009774AE">
        <w:t xml:space="preserve"> </w:t>
      </w:r>
      <w:r>
        <w:t xml:space="preserve">6 and 7 fall within one standard deviation of this age. </w:t>
      </w:r>
    </w:p>
    <w:p w:rsidR="00733167" w:rsidRDefault="00733167" w:rsidP="00733167">
      <w:pPr>
        <w:pStyle w:val="TextTimesRom11"/>
        <w:tabs>
          <w:tab w:val="left" w:pos="1701"/>
          <w:tab w:val="left" w:pos="4678"/>
        </w:tabs>
        <w:spacing w:after="120" w:line="276" w:lineRule="auto"/>
        <w:ind w:left="0"/>
      </w:pPr>
      <w:r>
        <w:rPr>
          <w:noProof/>
        </w:rPr>
        <w:t xml:space="preserve">These selections provide us with assignments </w:t>
      </w:r>
      <w:r w:rsidR="00C406A8">
        <w:rPr>
          <w:noProof/>
        </w:rPr>
        <w:t xml:space="preserve">of </w:t>
      </w:r>
      <w:r>
        <w:rPr>
          <w:noProof/>
        </w:rPr>
        <w:t xml:space="preserve">controls </w:t>
      </w:r>
      <w:r w:rsidR="00C406A8">
        <w:rPr>
          <w:noProof/>
        </w:rPr>
        <w:t xml:space="preserve">to cases.  See column </w:t>
      </w:r>
      <w:r>
        <w:rPr>
          <w:noProof/>
        </w:rPr>
        <w:t xml:space="preserve">listed in the right hand </w:t>
      </w:r>
      <w:r w:rsidR="00C406A8">
        <w:rPr>
          <w:noProof/>
        </w:rPr>
        <w:t xml:space="preserve">side of </w:t>
      </w:r>
      <w:r w:rsidR="00BA66F8">
        <w:rPr>
          <w:noProof/>
        </w:rPr>
        <w:t>Table 3</w:t>
      </w:r>
      <w:r>
        <w:rPr>
          <w:noProof/>
        </w:rPr>
        <w:t xml:space="preserve">.  Note that in this example we have matched cases and controls on age.  Other variables could also be used for matching and the decision on what variable cases and controls should be matched is a crucial decision for analysis.  One common method to reduce uncertainty about the appropriate variable to match is to rely on the outcomes observed during the observation period, i.e. the period from enrollment till start of follow-up period.  In this fashion, cases are matched to the control on history of the outcomes that is being monitored.  </w:t>
      </w:r>
    </w:p>
    <w:p w:rsidR="009D196F" w:rsidRDefault="009D196F" w:rsidP="00D7645E">
      <w:pPr>
        <w:pStyle w:val="Heading2"/>
      </w:pPr>
      <w:bookmarkStart w:id="8" w:name="_Toc359659837"/>
      <w:r>
        <w:t>Measurement of Outcomes</w:t>
      </w:r>
    </w:p>
    <w:p w:rsidR="009D196F" w:rsidRDefault="009D196F" w:rsidP="009D196F">
      <w:pPr>
        <w:pStyle w:val="TextTimesRom11"/>
        <w:tabs>
          <w:tab w:val="left" w:pos="1701"/>
          <w:tab w:val="left" w:pos="4678"/>
        </w:tabs>
        <w:spacing w:after="120" w:line="276" w:lineRule="auto"/>
        <w:ind w:left="0" w:firstLine="720"/>
        <w:rPr>
          <w:sz w:val="24"/>
          <w:szCs w:val="24"/>
        </w:rPr>
      </w:pPr>
      <w:r>
        <w:rPr>
          <w:sz w:val="24"/>
          <w:szCs w:val="24"/>
        </w:rPr>
        <w:t xml:space="preserve">Outcomes of interest are typically defined over a range of values over time.  Patients may be in and out of the therapeutic range on different days.  It is important to calculate percent of time patients are within therapeutic range.  This is done by a procedure first proposed by </w:t>
      </w:r>
      <w:proofErr w:type="spellStart"/>
      <w:r>
        <w:rPr>
          <w:sz w:val="24"/>
          <w:szCs w:val="24"/>
        </w:rPr>
        <w:t>Rosendaal</w:t>
      </w:r>
      <w:proofErr w:type="spellEnd"/>
      <w:r>
        <w:rPr>
          <w:sz w:val="24"/>
          <w:szCs w:val="24"/>
        </w:rPr>
        <w:t xml:space="preserve"> [</w:t>
      </w:r>
      <w:r>
        <w:rPr>
          <w:rStyle w:val="EndnoteReference"/>
          <w:sz w:val="24"/>
          <w:szCs w:val="24"/>
        </w:rPr>
        <w:endnoteReference w:id="14"/>
      </w:r>
      <w:r>
        <w:rPr>
          <w:sz w:val="24"/>
          <w:szCs w:val="24"/>
        </w:rPr>
        <w:t xml:space="preserve">].  Figure </w:t>
      </w:r>
      <w:r w:rsidR="00701364">
        <w:rPr>
          <w:sz w:val="24"/>
          <w:szCs w:val="24"/>
        </w:rPr>
        <w:t>5</w:t>
      </w:r>
      <w:r>
        <w:rPr>
          <w:sz w:val="24"/>
          <w:szCs w:val="24"/>
        </w:rPr>
        <w:t xml:space="preserve"> shows an example of a patient going in and out of range for blood pressure.  In Figure </w:t>
      </w:r>
      <w:r w:rsidR="00701364">
        <w:rPr>
          <w:sz w:val="24"/>
          <w:szCs w:val="24"/>
        </w:rPr>
        <w:t>5</w:t>
      </w:r>
      <w:r>
        <w:rPr>
          <w:sz w:val="24"/>
          <w:szCs w:val="24"/>
        </w:rPr>
        <w:t xml:space="preserve">, days </w:t>
      </w:r>
      <w:r w:rsidR="00D6253B">
        <w:rPr>
          <w:sz w:val="24"/>
          <w:szCs w:val="24"/>
        </w:rPr>
        <w:t xml:space="preserve">when </w:t>
      </w:r>
      <w:r>
        <w:rPr>
          <w:sz w:val="24"/>
          <w:szCs w:val="24"/>
        </w:rPr>
        <w:t>systolic blood pressure</w:t>
      </w:r>
      <w:r w:rsidR="00D6253B">
        <w:rPr>
          <w:sz w:val="24"/>
          <w:szCs w:val="24"/>
        </w:rPr>
        <w:t>s</w:t>
      </w:r>
      <w:r>
        <w:rPr>
          <w:sz w:val="24"/>
          <w:szCs w:val="24"/>
        </w:rPr>
        <w:t xml:space="preserve"> are within the range of 120 </w:t>
      </w:r>
      <w:proofErr w:type="spellStart"/>
      <w:r>
        <w:rPr>
          <w:sz w:val="24"/>
          <w:szCs w:val="24"/>
        </w:rPr>
        <w:t>mm</w:t>
      </w:r>
      <w:r w:rsidR="00D6253B">
        <w:rPr>
          <w:sz w:val="24"/>
          <w:szCs w:val="24"/>
        </w:rPr>
        <w:t>HG</w:t>
      </w:r>
      <w:proofErr w:type="spellEnd"/>
      <w:r>
        <w:rPr>
          <w:sz w:val="24"/>
          <w:szCs w:val="24"/>
        </w:rPr>
        <w:t xml:space="preserve"> to 140 </w:t>
      </w:r>
      <w:proofErr w:type="spellStart"/>
      <w:r>
        <w:rPr>
          <w:sz w:val="24"/>
          <w:szCs w:val="24"/>
        </w:rPr>
        <w:t>mm</w:t>
      </w:r>
      <w:r w:rsidR="00D6253B">
        <w:rPr>
          <w:sz w:val="24"/>
          <w:szCs w:val="24"/>
        </w:rPr>
        <w:t>HG</w:t>
      </w:r>
      <w:proofErr w:type="spellEnd"/>
      <w:r>
        <w:rPr>
          <w:sz w:val="24"/>
          <w:szCs w:val="24"/>
        </w:rPr>
        <w:t xml:space="preserve"> </w:t>
      </w:r>
      <w:proofErr w:type="gramStart"/>
      <w:r>
        <w:rPr>
          <w:sz w:val="24"/>
          <w:szCs w:val="24"/>
        </w:rPr>
        <w:t>has</w:t>
      </w:r>
      <w:proofErr w:type="gramEnd"/>
      <w:r>
        <w:rPr>
          <w:sz w:val="24"/>
          <w:szCs w:val="24"/>
        </w:rPr>
        <w:t xml:space="preserve"> been indicated.    </w:t>
      </w:r>
    </w:p>
    <w:p w:rsidR="009D196F" w:rsidRPr="003D4E4B" w:rsidRDefault="009D196F" w:rsidP="009D196F">
      <w:pPr>
        <w:pStyle w:val="TextTimesRom11"/>
        <w:keepNext/>
        <w:tabs>
          <w:tab w:val="left" w:pos="1701"/>
          <w:tab w:val="left" w:pos="4678"/>
        </w:tabs>
        <w:ind w:left="0"/>
        <w:jc w:val="center"/>
        <w:rPr>
          <w:b/>
          <w:sz w:val="24"/>
          <w:szCs w:val="24"/>
        </w:rPr>
      </w:pPr>
      <w:r w:rsidRPr="003D4E4B">
        <w:rPr>
          <w:b/>
          <w:sz w:val="24"/>
          <w:szCs w:val="24"/>
        </w:rPr>
        <w:t xml:space="preserve">Figure </w:t>
      </w:r>
      <w:r w:rsidR="00701364">
        <w:rPr>
          <w:b/>
          <w:sz w:val="24"/>
          <w:szCs w:val="24"/>
        </w:rPr>
        <w:t>5</w:t>
      </w:r>
      <w:r w:rsidRPr="003D4E4B">
        <w:rPr>
          <w:b/>
          <w:sz w:val="24"/>
          <w:szCs w:val="24"/>
        </w:rPr>
        <w:t>:  Example</w:t>
      </w:r>
      <w:r>
        <w:rPr>
          <w:b/>
          <w:sz w:val="24"/>
          <w:szCs w:val="24"/>
        </w:rPr>
        <w:t>s</w:t>
      </w:r>
      <w:r w:rsidRPr="003D4E4B">
        <w:rPr>
          <w:b/>
          <w:sz w:val="24"/>
          <w:szCs w:val="24"/>
        </w:rPr>
        <w:t xml:space="preserve"> of Blood Pressure</w:t>
      </w:r>
      <w:r>
        <w:rPr>
          <w:b/>
          <w:sz w:val="24"/>
          <w:szCs w:val="24"/>
        </w:rPr>
        <w:t>s</w:t>
      </w:r>
      <w:r w:rsidRPr="003D4E4B">
        <w:rPr>
          <w:b/>
          <w:sz w:val="24"/>
          <w:szCs w:val="24"/>
        </w:rPr>
        <w:t xml:space="preserve"> in and out of Therapeutic Range</w:t>
      </w:r>
    </w:p>
    <w:p w:rsidR="009D196F" w:rsidRDefault="009D196F" w:rsidP="009D196F">
      <w:pPr>
        <w:pStyle w:val="TextTimesRom11"/>
        <w:tabs>
          <w:tab w:val="left" w:pos="1701"/>
          <w:tab w:val="left" w:pos="4678"/>
        </w:tabs>
        <w:spacing w:after="120" w:line="276" w:lineRule="auto"/>
        <w:ind w:left="0"/>
        <w:jc w:val="center"/>
        <w:rPr>
          <w:sz w:val="24"/>
          <w:szCs w:val="24"/>
        </w:rPr>
      </w:pPr>
      <w:r>
        <w:rPr>
          <w:noProof/>
        </w:rPr>
        <w:drawing>
          <wp:inline distT="0" distB="0" distL="0" distR="0">
            <wp:extent cx="5476876" cy="27432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96F" w:rsidRPr="009D196F" w:rsidRDefault="009D196F" w:rsidP="009D196F">
      <w:pPr>
        <w:pStyle w:val="TextTimesRom11"/>
        <w:tabs>
          <w:tab w:val="left" w:pos="1701"/>
          <w:tab w:val="left" w:pos="4678"/>
        </w:tabs>
        <w:spacing w:after="120" w:line="276" w:lineRule="auto"/>
        <w:ind w:left="0"/>
        <w:rPr>
          <w:sz w:val="24"/>
          <w:szCs w:val="24"/>
        </w:rPr>
      </w:pPr>
      <w:r w:rsidRPr="009D196F">
        <w:rPr>
          <w:sz w:val="24"/>
          <w:szCs w:val="24"/>
        </w:rPr>
        <w:t>For two consecutive values that are in range, the calculation is straightforward.  For two consecutive values</w:t>
      </w:r>
      <w:r w:rsidR="00D6253B">
        <w:rPr>
          <w:sz w:val="24"/>
          <w:szCs w:val="24"/>
        </w:rPr>
        <w:t>,</w:t>
      </w:r>
      <w:r w:rsidRPr="009D196F">
        <w:rPr>
          <w:sz w:val="24"/>
          <w:szCs w:val="24"/>
        </w:rPr>
        <w:t xml:space="preserve"> where one is in range and another  is out of range a linear extrapolation is made to determine the day the patient moved to out of range.  A preset maximum (e.g. 60 days) is used to reduce the influence of the linear extrapolation for two values that are very far apart.  The percent of days the patient is in therapeutic range is calculated as the sum of all estimated days in range divided by the number of days from first to last measure.  For two values at two consecutive measurements, the extrapolation is based on the following formula:</w:t>
      </w:r>
    </w:p>
    <w:p w:rsidR="009D196F" w:rsidRPr="009D196F" w:rsidRDefault="009D196F" w:rsidP="009D196F">
      <w:pPr>
        <w:pStyle w:val="TextTimesRom11"/>
        <w:tabs>
          <w:tab w:val="left" w:pos="1701"/>
          <w:tab w:val="left" w:pos="4678"/>
        </w:tabs>
        <w:spacing w:after="120" w:line="276" w:lineRule="auto"/>
        <w:ind w:left="0"/>
        <w:rPr>
          <w:sz w:val="24"/>
          <w:szCs w:val="24"/>
        </w:rPr>
      </w:pPr>
      <m:oMathPara>
        <m:oMath>
          <m:r>
            <m:rPr>
              <m:sty m:val="p"/>
            </m:rPr>
            <w:rPr>
              <w:rFonts w:ascii="Cambria Math" w:hAnsi="Cambria Math"/>
              <w:sz w:val="24"/>
              <w:szCs w:val="24"/>
            </w:rPr>
            <m:t>Days in Range=</m:t>
          </m:r>
          <m:f>
            <m:fPr>
              <m:ctrlPr>
                <w:rPr>
                  <w:rFonts w:ascii="Cambria Math" w:hAnsi="Cambria Math"/>
                  <w:sz w:val="24"/>
                  <w:szCs w:val="24"/>
                </w:rPr>
              </m:ctrlPr>
            </m:fPr>
            <m:num>
              <m:r>
                <m:rPr>
                  <m:sty m:val="p"/>
                </m:rPr>
                <w:rPr>
                  <w:rFonts w:ascii="Cambria Math" w:hAnsi="Cambria Math"/>
                  <w:sz w:val="24"/>
                  <w:szCs w:val="24"/>
                </w:rPr>
                <m:t>Upper or lower Range-Starting Value</m:t>
              </m:r>
            </m:num>
            <m:den>
              <m:r>
                <m:rPr>
                  <m:sty m:val="p"/>
                </m:rPr>
                <w:rPr>
                  <w:rFonts w:ascii="Cambria Math" w:hAnsi="Cambria Math"/>
                  <w:sz w:val="24"/>
                  <w:szCs w:val="24"/>
                </w:rPr>
                <m:t>Ending value-Starting Value</m:t>
              </m:r>
            </m:den>
          </m:f>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Ending day-Starting day</m:t>
              </m:r>
            </m:e>
          </m:d>
        </m:oMath>
      </m:oMathPara>
    </w:p>
    <w:p w:rsidR="009D196F" w:rsidRPr="009D196F" w:rsidRDefault="009D196F" w:rsidP="009D196F">
      <w:pPr>
        <w:pStyle w:val="TextTimesRom11"/>
        <w:tabs>
          <w:tab w:val="left" w:pos="1701"/>
          <w:tab w:val="left" w:pos="4678"/>
        </w:tabs>
        <w:spacing w:after="120" w:line="276" w:lineRule="auto"/>
        <w:ind w:left="0"/>
        <w:rPr>
          <w:sz w:val="24"/>
          <w:szCs w:val="24"/>
        </w:rPr>
      </w:pPr>
      <w:r w:rsidRPr="009D196F">
        <w:rPr>
          <w:sz w:val="24"/>
          <w:szCs w:val="24"/>
        </w:rPr>
        <w:t>“Unknown days” refer to the difference of “days in range” and the maximum number of days that can be estimated from two measures.  These are days that are neither in nor out of range.  The percent of days in range is then calculated using the following approximation:</w:t>
      </w:r>
    </w:p>
    <w:p w:rsidR="009D196F" w:rsidRPr="009D196F" w:rsidRDefault="009D196F" w:rsidP="009D196F">
      <w:pPr>
        <w:pStyle w:val="TextTimesRom11"/>
        <w:tabs>
          <w:tab w:val="left" w:pos="1701"/>
          <w:tab w:val="left" w:pos="4678"/>
        </w:tabs>
        <w:spacing w:after="120" w:line="276" w:lineRule="auto"/>
        <w:ind w:left="0"/>
        <w:rPr>
          <w:sz w:val="24"/>
          <w:szCs w:val="24"/>
        </w:rPr>
      </w:pPr>
      <m:oMathPara>
        <m:oMath>
          <m:r>
            <m:rPr>
              <m:sty m:val="p"/>
            </m:rPr>
            <w:rPr>
              <w:rFonts w:ascii="Cambria Math" w:hAnsi="Cambria Math"/>
              <w:sz w:val="24"/>
              <w:szCs w:val="24"/>
            </w:rPr>
            <m:t>Percent Days in Range=</m:t>
          </m:r>
          <m:f>
            <m:fPr>
              <m:ctrlPr>
                <w:rPr>
                  <w:rFonts w:ascii="Cambria Math" w:hAnsi="Cambria Math"/>
                  <w:sz w:val="24"/>
                  <w:szCs w:val="24"/>
                </w:rPr>
              </m:ctrlPr>
            </m:fPr>
            <m:num>
              <m:r>
                <m:rPr>
                  <m:sty m:val="p"/>
                </m:rPr>
                <w:rPr>
                  <w:rFonts w:ascii="Cambria Math" w:hAnsi="Cambria Math"/>
                  <w:sz w:val="24"/>
                  <w:szCs w:val="24"/>
                </w:rPr>
                <m:t>Days in Range-Unknown Days</m:t>
              </m:r>
            </m:num>
            <m:den>
              <m:r>
                <m:rPr>
                  <m:sty m:val="p"/>
                </m:rPr>
                <w:rPr>
                  <w:rFonts w:ascii="Cambria Math" w:hAnsi="Cambria Math"/>
                  <w:sz w:val="24"/>
                  <w:szCs w:val="24"/>
                </w:rPr>
                <m:t>Days between Last and First Measure-Unknown Days</m:t>
              </m:r>
            </m:den>
          </m:f>
        </m:oMath>
      </m:oMathPara>
    </w:p>
    <w:p w:rsidR="009D196F" w:rsidRPr="009D196F" w:rsidRDefault="009D196F" w:rsidP="009D196F">
      <w:pPr>
        <w:pStyle w:val="TextTimesRom11"/>
        <w:tabs>
          <w:tab w:val="left" w:pos="1701"/>
          <w:tab w:val="left" w:pos="4678"/>
        </w:tabs>
        <w:spacing w:after="120" w:line="276" w:lineRule="auto"/>
        <w:ind w:left="0"/>
        <w:rPr>
          <w:sz w:val="24"/>
          <w:szCs w:val="24"/>
        </w:rPr>
      </w:pPr>
      <w:r w:rsidRPr="009D196F">
        <w:rPr>
          <w:sz w:val="24"/>
          <w:szCs w:val="24"/>
        </w:rPr>
        <w:t xml:space="preserve">For example, in Table </w:t>
      </w:r>
      <w:r w:rsidR="00BA66F8">
        <w:rPr>
          <w:sz w:val="24"/>
          <w:szCs w:val="24"/>
        </w:rPr>
        <w:t>5</w:t>
      </w:r>
      <w:r w:rsidRPr="009D196F">
        <w:rPr>
          <w:sz w:val="24"/>
          <w:szCs w:val="24"/>
        </w:rPr>
        <w:t xml:space="preserve"> we see six blood pressures, some in and some out of range.  In the first two measurements, the patient goes from blood pressure of 125 to out of range pressure of 150.  These two measures are 20 days apart; this patient is estimated to be in range for 12 out of these 20 days.  Similar, estimates are made for every two consecutive blood pressure. For the</w:t>
      </w:r>
      <w:r w:rsidRPr="009D196F">
        <w:rPr>
          <w:sz w:val="24"/>
          <w:szCs w:val="24"/>
          <w:vertAlign w:val="superscript"/>
        </w:rPr>
        <w:t xml:space="preserve"> </w:t>
      </w:r>
      <w:r w:rsidRPr="009D196F">
        <w:rPr>
          <w:sz w:val="24"/>
          <w:szCs w:val="24"/>
        </w:rPr>
        <w:t xml:space="preserve">second and third measurement the estimate of days in range is 20 days. If we assume that days more than 2 weeks away from a measurement are unknown days, then 6 out of these 20 days are unknown days. In the last two measurements, both measures are within range, there are 30 days in between these measures, 16 of which are unknown days.  The total number of days the patient is in range is 77 days, the total number of unknown days is 22 and the percent of days in therapeutic range is 81%.  </w:t>
      </w:r>
    </w:p>
    <w:p w:rsidR="009D196F" w:rsidRPr="009D196F" w:rsidRDefault="009D196F" w:rsidP="009D196F">
      <w:pPr>
        <w:pStyle w:val="TextTimesRom11"/>
        <w:keepNext/>
        <w:tabs>
          <w:tab w:val="left" w:pos="1701"/>
          <w:tab w:val="left" w:pos="4678"/>
        </w:tabs>
        <w:ind w:left="0"/>
        <w:jc w:val="center"/>
        <w:rPr>
          <w:b/>
          <w:sz w:val="24"/>
          <w:szCs w:val="24"/>
        </w:rPr>
      </w:pPr>
      <w:r w:rsidRPr="009D196F">
        <w:rPr>
          <w:b/>
          <w:sz w:val="24"/>
          <w:szCs w:val="24"/>
        </w:rPr>
        <w:t xml:space="preserve">Table </w:t>
      </w:r>
      <w:r w:rsidR="00BA66F8">
        <w:rPr>
          <w:b/>
          <w:sz w:val="24"/>
          <w:szCs w:val="24"/>
        </w:rPr>
        <w:t>5</w:t>
      </w:r>
      <w:r w:rsidRPr="009D196F">
        <w:rPr>
          <w:b/>
          <w:sz w:val="24"/>
          <w:szCs w:val="24"/>
        </w:rPr>
        <w:t>:  Calculation of Percent Days in Therapeutic Range</w:t>
      </w:r>
    </w:p>
    <w:tbl>
      <w:tblPr>
        <w:tblW w:w="8800" w:type="dxa"/>
        <w:jc w:val="center"/>
        <w:tblInd w:w="93" w:type="dxa"/>
        <w:tblLook w:val="04A0"/>
      </w:tblPr>
      <w:tblGrid>
        <w:gridCol w:w="1360"/>
        <w:gridCol w:w="960"/>
        <w:gridCol w:w="1355"/>
        <w:gridCol w:w="1365"/>
        <w:gridCol w:w="1320"/>
        <w:gridCol w:w="1100"/>
        <w:gridCol w:w="1340"/>
      </w:tblGrid>
      <w:tr w:rsidR="009D196F" w:rsidRPr="009D196F" w:rsidTr="007B074A">
        <w:trPr>
          <w:trHeight w:val="293"/>
          <w:jc w:val="center"/>
        </w:trPr>
        <w:tc>
          <w:tcPr>
            <w:tcW w:w="1360" w:type="dxa"/>
            <w:vMerge w:val="restart"/>
            <w:tcBorders>
              <w:top w:val="nil"/>
              <w:left w:val="nil"/>
              <w:bottom w:val="nil"/>
              <w:right w:val="nil"/>
            </w:tcBorders>
            <w:shd w:val="clear" w:color="auto" w:fill="auto"/>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Days Since Enrollment</w:t>
            </w:r>
          </w:p>
        </w:tc>
        <w:tc>
          <w:tcPr>
            <w:tcW w:w="960" w:type="dxa"/>
            <w:vMerge w:val="restart"/>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BP</w:t>
            </w:r>
          </w:p>
        </w:tc>
        <w:tc>
          <w:tcPr>
            <w:tcW w:w="2720" w:type="dxa"/>
            <w:gridSpan w:val="2"/>
            <w:vMerge w:val="restart"/>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Therapeutic Range</w:t>
            </w:r>
          </w:p>
        </w:tc>
        <w:tc>
          <w:tcPr>
            <w:tcW w:w="1320" w:type="dxa"/>
            <w:vMerge w:val="restart"/>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In range</w:t>
            </w:r>
          </w:p>
        </w:tc>
        <w:tc>
          <w:tcPr>
            <w:tcW w:w="1100" w:type="dxa"/>
            <w:vMerge w:val="restart"/>
            <w:tcBorders>
              <w:top w:val="nil"/>
              <w:left w:val="nil"/>
              <w:bottom w:val="nil"/>
              <w:right w:val="nil"/>
            </w:tcBorders>
            <w:shd w:val="clear" w:color="auto" w:fill="auto"/>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Days in Range</w:t>
            </w:r>
          </w:p>
        </w:tc>
        <w:tc>
          <w:tcPr>
            <w:tcW w:w="1340" w:type="dxa"/>
            <w:vMerge w:val="restart"/>
            <w:tcBorders>
              <w:top w:val="nil"/>
              <w:left w:val="nil"/>
              <w:bottom w:val="nil"/>
              <w:right w:val="nil"/>
            </w:tcBorders>
            <w:shd w:val="clear" w:color="auto" w:fill="auto"/>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Unknown Days &gt; Max of 14 Days</w:t>
            </w:r>
          </w:p>
        </w:tc>
      </w:tr>
      <w:tr w:rsidR="009D196F" w:rsidRPr="009D196F" w:rsidTr="007B074A">
        <w:trPr>
          <w:trHeight w:val="345"/>
          <w:jc w:val="center"/>
        </w:trPr>
        <w:tc>
          <w:tcPr>
            <w:tcW w:w="136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96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2720" w:type="dxa"/>
            <w:gridSpan w:val="2"/>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32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10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34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r>
      <w:tr w:rsidR="009D196F" w:rsidRPr="009D196F" w:rsidTr="007B074A">
        <w:trPr>
          <w:trHeight w:val="300"/>
          <w:jc w:val="center"/>
        </w:trPr>
        <w:tc>
          <w:tcPr>
            <w:tcW w:w="136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96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Lower</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b/>
                <w:bCs/>
                <w:szCs w:val="22"/>
              </w:rPr>
            </w:pPr>
            <w:r w:rsidRPr="009D196F">
              <w:rPr>
                <w:rFonts w:ascii="Calibri" w:hAnsi="Calibri"/>
                <w:b/>
                <w:bCs/>
                <w:sz w:val="22"/>
                <w:szCs w:val="22"/>
              </w:rPr>
              <w:t xml:space="preserve">Upper </w:t>
            </w:r>
          </w:p>
        </w:tc>
        <w:tc>
          <w:tcPr>
            <w:tcW w:w="132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10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c>
          <w:tcPr>
            <w:tcW w:w="1340" w:type="dxa"/>
            <w:vMerge/>
            <w:tcBorders>
              <w:top w:val="nil"/>
              <w:left w:val="nil"/>
              <w:bottom w:val="nil"/>
              <w:right w:val="nil"/>
            </w:tcBorders>
            <w:vAlign w:val="center"/>
            <w:hideMark/>
          </w:tcPr>
          <w:p w:rsidR="009D196F" w:rsidRPr="009D196F" w:rsidRDefault="009D196F" w:rsidP="007B074A">
            <w:pPr>
              <w:rPr>
                <w:rFonts w:ascii="Calibri" w:hAnsi="Calibri"/>
                <w:b/>
                <w:bCs/>
                <w:szCs w:val="22"/>
              </w:rPr>
            </w:pP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125</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Yes</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0</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20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150</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No</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20</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6</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60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130</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Yes</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5</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0</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70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110</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No</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10</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0</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90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130</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Yes</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30</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16</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96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135</w:t>
            </w:r>
          </w:p>
        </w:tc>
        <w:tc>
          <w:tcPr>
            <w:tcW w:w="135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120</w:t>
            </w:r>
          </w:p>
        </w:tc>
        <w:tc>
          <w:tcPr>
            <w:tcW w:w="1365"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140</w:t>
            </w:r>
          </w:p>
        </w:tc>
        <w:tc>
          <w:tcPr>
            <w:tcW w:w="132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Yes</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rPr>
                <w:rFonts w:ascii="Calibri" w:hAnsi="Calibri"/>
                <w:szCs w:val="22"/>
              </w:rPr>
            </w:pPr>
          </w:p>
        </w:tc>
        <w:tc>
          <w:tcPr>
            <w:tcW w:w="960" w:type="dxa"/>
            <w:tcBorders>
              <w:top w:val="nil"/>
              <w:left w:val="nil"/>
              <w:bottom w:val="nil"/>
              <w:right w:val="nil"/>
            </w:tcBorders>
            <w:shd w:val="clear" w:color="auto" w:fill="auto"/>
            <w:noWrap/>
            <w:vAlign w:val="bottom"/>
            <w:hideMark/>
          </w:tcPr>
          <w:p w:rsidR="009D196F" w:rsidRPr="009D196F" w:rsidRDefault="009D196F" w:rsidP="007B074A">
            <w:pPr>
              <w:rPr>
                <w:rFonts w:ascii="Calibri" w:hAnsi="Calibri"/>
                <w:b/>
                <w:bCs/>
                <w:szCs w:val="22"/>
              </w:rPr>
            </w:pPr>
          </w:p>
        </w:tc>
        <w:tc>
          <w:tcPr>
            <w:tcW w:w="4040" w:type="dxa"/>
            <w:gridSpan w:val="3"/>
            <w:tcBorders>
              <w:top w:val="nil"/>
              <w:left w:val="nil"/>
              <w:bottom w:val="nil"/>
              <w:right w:val="nil"/>
            </w:tcBorders>
            <w:shd w:val="clear" w:color="auto" w:fill="auto"/>
            <w:noWrap/>
            <w:vAlign w:val="bottom"/>
            <w:hideMark/>
          </w:tcPr>
          <w:p w:rsidR="009D196F" w:rsidRPr="009D196F" w:rsidRDefault="009D196F" w:rsidP="007B074A">
            <w:pPr>
              <w:jc w:val="right"/>
              <w:rPr>
                <w:rFonts w:ascii="Calibri" w:hAnsi="Calibri"/>
                <w:b/>
                <w:bCs/>
                <w:szCs w:val="22"/>
              </w:rPr>
            </w:pPr>
            <w:r w:rsidRPr="009D196F">
              <w:rPr>
                <w:rFonts w:ascii="Calibri" w:hAnsi="Calibri"/>
                <w:b/>
                <w:bCs/>
                <w:sz w:val="22"/>
                <w:szCs w:val="22"/>
              </w:rPr>
              <w:t>Total Days in Range</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77</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22</w:t>
            </w:r>
          </w:p>
        </w:tc>
      </w:tr>
      <w:tr w:rsidR="009D196F" w:rsidRPr="009D196F" w:rsidTr="007B074A">
        <w:trPr>
          <w:trHeight w:val="300"/>
          <w:jc w:val="center"/>
        </w:trPr>
        <w:tc>
          <w:tcPr>
            <w:tcW w:w="1360" w:type="dxa"/>
            <w:tcBorders>
              <w:top w:val="nil"/>
              <w:left w:val="nil"/>
              <w:bottom w:val="nil"/>
              <w:right w:val="nil"/>
            </w:tcBorders>
            <w:shd w:val="clear" w:color="auto" w:fill="auto"/>
            <w:noWrap/>
            <w:vAlign w:val="bottom"/>
            <w:hideMark/>
          </w:tcPr>
          <w:p w:rsidR="009D196F" w:rsidRPr="009D196F" w:rsidRDefault="009D196F" w:rsidP="007B074A">
            <w:pPr>
              <w:rPr>
                <w:rFonts w:ascii="Calibri" w:hAnsi="Calibri"/>
                <w:szCs w:val="22"/>
              </w:rPr>
            </w:pPr>
          </w:p>
        </w:tc>
        <w:tc>
          <w:tcPr>
            <w:tcW w:w="5000" w:type="dxa"/>
            <w:gridSpan w:val="4"/>
            <w:tcBorders>
              <w:top w:val="nil"/>
              <w:left w:val="nil"/>
              <w:bottom w:val="nil"/>
              <w:right w:val="nil"/>
            </w:tcBorders>
            <w:shd w:val="clear" w:color="auto" w:fill="auto"/>
            <w:noWrap/>
            <w:vAlign w:val="bottom"/>
            <w:hideMark/>
          </w:tcPr>
          <w:p w:rsidR="009D196F" w:rsidRPr="009D196F" w:rsidRDefault="009D196F" w:rsidP="007B074A">
            <w:pPr>
              <w:jc w:val="right"/>
              <w:rPr>
                <w:rFonts w:ascii="Calibri" w:hAnsi="Calibri"/>
                <w:b/>
                <w:bCs/>
                <w:szCs w:val="22"/>
              </w:rPr>
            </w:pPr>
            <w:r w:rsidRPr="009D196F">
              <w:rPr>
                <w:rFonts w:ascii="Calibri" w:hAnsi="Calibri"/>
                <w:b/>
                <w:bCs/>
                <w:sz w:val="22"/>
                <w:szCs w:val="22"/>
              </w:rPr>
              <w:t>Percent Days in Therapeutic Range</w:t>
            </w:r>
          </w:p>
        </w:tc>
        <w:tc>
          <w:tcPr>
            <w:tcW w:w="110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r w:rsidRPr="009D196F">
              <w:rPr>
                <w:rFonts w:ascii="Calibri" w:hAnsi="Calibri"/>
                <w:sz w:val="22"/>
                <w:szCs w:val="22"/>
              </w:rPr>
              <w:t>81%</w:t>
            </w:r>
          </w:p>
        </w:tc>
        <w:tc>
          <w:tcPr>
            <w:tcW w:w="1340" w:type="dxa"/>
            <w:tcBorders>
              <w:top w:val="nil"/>
              <w:left w:val="nil"/>
              <w:bottom w:val="nil"/>
              <w:right w:val="nil"/>
            </w:tcBorders>
            <w:shd w:val="clear" w:color="auto" w:fill="auto"/>
            <w:noWrap/>
            <w:vAlign w:val="bottom"/>
            <w:hideMark/>
          </w:tcPr>
          <w:p w:rsidR="009D196F" w:rsidRPr="009D196F" w:rsidRDefault="009D196F" w:rsidP="007B074A">
            <w:pPr>
              <w:jc w:val="center"/>
              <w:rPr>
                <w:rFonts w:ascii="Calibri" w:hAnsi="Calibri"/>
                <w:szCs w:val="22"/>
              </w:rPr>
            </w:pPr>
          </w:p>
        </w:tc>
      </w:tr>
    </w:tbl>
    <w:p w:rsidR="009D196F" w:rsidRPr="009D196F" w:rsidRDefault="009D196F" w:rsidP="009D196F">
      <w:pPr>
        <w:pStyle w:val="TextTimesRom11"/>
        <w:keepNext/>
        <w:tabs>
          <w:tab w:val="left" w:pos="1701"/>
          <w:tab w:val="left" w:pos="4678"/>
        </w:tabs>
        <w:ind w:left="0"/>
        <w:jc w:val="center"/>
        <w:rPr>
          <w:b/>
          <w:sz w:val="24"/>
          <w:szCs w:val="24"/>
        </w:rPr>
      </w:pPr>
    </w:p>
    <w:p w:rsidR="009D196F" w:rsidRPr="009D196F" w:rsidRDefault="009D196F" w:rsidP="009D196F">
      <w:r w:rsidRPr="009D196F">
        <w:t xml:space="preserve">At least two </w:t>
      </w:r>
      <w:r w:rsidR="00777F6D">
        <w:t xml:space="preserve">observations over time </w:t>
      </w:r>
      <w:r w:rsidRPr="009D196F">
        <w:t>are needed before the “</w:t>
      </w:r>
      <w:r w:rsidRPr="005656D3">
        <w:t>Percent Days in Therapeutic Range” can be calculated.  A detailed example of these calculations is provided in Appendix A.</w:t>
      </w:r>
    </w:p>
    <w:p w:rsidR="00D7645E" w:rsidRDefault="00D7645E" w:rsidP="00D7645E">
      <w:pPr>
        <w:pStyle w:val="Heading2"/>
      </w:pPr>
      <w:r w:rsidRPr="00A11198">
        <w:t>Verification of Matching</w:t>
      </w:r>
      <w:bookmarkEnd w:id="8"/>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To verify that the matching has been successful, the cases and controls are compared</w:t>
      </w:r>
      <w:r w:rsidR="00D6253B">
        <w:rPr>
          <w:sz w:val="24"/>
          <w:szCs w:val="24"/>
        </w:rPr>
        <w:t xml:space="preserve"> before the cases were enrolled in the intervention</w:t>
      </w:r>
      <w:r>
        <w:rPr>
          <w:sz w:val="24"/>
          <w:szCs w:val="24"/>
        </w:rPr>
        <w:t>.  The null hypothesis is that the cases and the matched controls have the same rate for outcomes during the pre-enrollment period.  The alternative hypothesis is that there is a statistically significant difference between these two groups.  First the difference between each case and the mean of the controls that matched to the case is calculated.  Then the average and the standard deviation of the differences are calculated.  The t-statistic is used to test if the mean of the differences is significantly different from zero.  If so, the null hypothesis is rejected and the matching process has not led to equivalent groups.  If equivalent groups are not available, the procedure is repeated until two statistically equivalent groups are identified.</w:t>
      </w:r>
    </w:p>
    <w:p w:rsidR="00DF48A1" w:rsidRDefault="00DF48A1" w:rsidP="00D7645E">
      <w:pPr>
        <w:pStyle w:val="TextTimesRom11"/>
        <w:tabs>
          <w:tab w:val="left" w:pos="1701"/>
          <w:tab w:val="left" w:pos="4678"/>
        </w:tabs>
        <w:spacing w:after="120" w:line="276" w:lineRule="auto"/>
        <w:ind w:left="0" w:firstLine="720"/>
        <w:rPr>
          <w:sz w:val="24"/>
          <w:szCs w:val="24"/>
        </w:rPr>
      </w:pPr>
      <w:r>
        <w:rPr>
          <w:sz w:val="24"/>
          <w:szCs w:val="24"/>
        </w:rPr>
        <w:t>In many studies, the calculation of the statistics is done in error [</w:t>
      </w:r>
      <w:r>
        <w:rPr>
          <w:rStyle w:val="EndnoteReference"/>
          <w:sz w:val="24"/>
          <w:szCs w:val="24"/>
        </w:rPr>
        <w:endnoteReference w:id="15"/>
      </w:r>
      <w:r>
        <w:rPr>
          <w:sz w:val="24"/>
          <w:szCs w:val="24"/>
        </w:rPr>
        <w:t xml:space="preserve">].  A </w:t>
      </w:r>
      <w:r w:rsidRPr="00DF48A1">
        <w:rPr>
          <w:sz w:val="24"/>
          <w:szCs w:val="24"/>
        </w:rPr>
        <w:t xml:space="preserve">paired t-tests </w:t>
      </w:r>
      <w:r>
        <w:rPr>
          <w:sz w:val="24"/>
          <w:szCs w:val="24"/>
        </w:rPr>
        <w:t xml:space="preserve">is done when cases have </w:t>
      </w:r>
      <w:r w:rsidRPr="00DF48A1">
        <w:rPr>
          <w:sz w:val="24"/>
          <w:szCs w:val="24"/>
        </w:rPr>
        <w:t>1:1 match</w:t>
      </w:r>
      <w:r>
        <w:rPr>
          <w:sz w:val="24"/>
          <w:szCs w:val="24"/>
        </w:rPr>
        <w:t xml:space="preserve"> to controls and have </w:t>
      </w:r>
      <w:r w:rsidRPr="00DF48A1">
        <w:rPr>
          <w:sz w:val="24"/>
          <w:szCs w:val="24"/>
        </w:rPr>
        <w:t xml:space="preserve">a symmetrical distribution, the </w:t>
      </w:r>
      <w:proofErr w:type="spellStart"/>
      <w:r w:rsidRPr="00DF48A1">
        <w:rPr>
          <w:sz w:val="24"/>
          <w:szCs w:val="24"/>
        </w:rPr>
        <w:t>Wilcoxon</w:t>
      </w:r>
      <w:proofErr w:type="spellEnd"/>
      <w:r w:rsidRPr="00DF48A1">
        <w:rPr>
          <w:sz w:val="24"/>
          <w:szCs w:val="24"/>
        </w:rPr>
        <w:t xml:space="preserve"> signed ranks test </w:t>
      </w:r>
      <w:r>
        <w:rPr>
          <w:sz w:val="24"/>
          <w:szCs w:val="24"/>
        </w:rPr>
        <w:t xml:space="preserve">is used </w:t>
      </w:r>
      <w:r w:rsidRPr="00DF48A1">
        <w:rPr>
          <w:sz w:val="24"/>
          <w:szCs w:val="24"/>
        </w:rPr>
        <w:t xml:space="preserve">for measured </w:t>
      </w:r>
      <w:r>
        <w:rPr>
          <w:sz w:val="24"/>
          <w:szCs w:val="24"/>
        </w:rPr>
        <w:t xml:space="preserve">non-parametric </w:t>
      </w:r>
      <w:r w:rsidRPr="00DF48A1">
        <w:rPr>
          <w:sz w:val="24"/>
          <w:szCs w:val="24"/>
        </w:rPr>
        <w:t xml:space="preserve">outcomes with 1:1 matching, linear </w:t>
      </w:r>
      <w:r w:rsidR="002E6D20">
        <w:rPr>
          <w:sz w:val="24"/>
          <w:szCs w:val="24"/>
        </w:rPr>
        <w:t xml:space="preserve">or logistic </w:t>
      </w:r>
      <w:r w:rsidRPr="00DF48A1">
        <w:rPr>
          <w:sz w:val="24"/>
          <w:szCs w:val="24"/>
        </w:rPr>
        <w:t xml:space="preserve">regression </w:t>
      </w:r>
      <w:r>
        <w:rPr>
          <w:sz w:val="24"/>
          <w:szCs w:val="24"/>
        </w:rPr>
        <w:t xml:space="preserve">is used </w:t>
      </w:r>
      <w:r w:rsidRPr="00DF48A1">
        <w:rPr>
          <w:sz w:val="24"/>
          <w:szCs w:val="24"/>
        </w:rPr>
        <w:t>to handle matched sets other than 1:1 matching</w:t>
      </w:r>
      <w:r>
        <w:rPr>
          <w:sz w:val="24"/>
          <w:szCs w:val="24"/>
        </w:rPr>
        <w:t xml:space="preserve"> [</w:t>
      </w:r>
      <w:r>
        <w:rPr>
          <w:rStyle w:val="EndnoteReference"/>
          <w:sz w:val="24"/>
          <w:szCs w:val="24"/>
        </w:rPr>
        <w:endnoteReference w:id="16"/>
      </w:r>
      <w:r>
        <w:rPr>
          <w:sz w:val="24"/>
          <w:szCs w:val="24"/>
        </w:rPr>
        <w:t>]</w:t>
      </w:r>
      <w:r w:rsidRPr="00DF48A1">
        <w:rPr>
          <w:sz w:val="24"/>
          <w:szCs w:val="24"/>
        </w:rPr>
        <w:t>.</w:t>
      </w:r>
      <w:r>
        <w:rPr>
          <w:sz w:val="24"/>
          <w:szCs w:val="24"/>
        </w:rPr>
        <w:t xml:space="preserve">  </w:t>
      </w:r>
      <w:r w:rsidR="00B03115">
        <w:rPr>
          <w:sz w:val="24"/>
          <w:szCs w:val="24"/>
        </w:rPr>
        <w:t xml:space="preserve">The section below shows how to test the statistical significant of outcomes when many controls have been matched to one case.  </w:t>
      </w:r>
      <w:r w:rsidR="002E6D20">
        <w:rPr>
          <w:sz w:val="24"/>
          <w:szCs w:val="24"/>
        </w:rPr>
        <w:t xml:space="preserve">  </w:t>
      </w:r>
      <w:r w:rsidR="00B03115">
        <w:rPr>
          <w:sz w:val="24"/>
          <w:szCs w:val="24"/>
        </w:rPr>
        <w:t>Applying the same procedures to pre-intervention period is one way of testing that the procedure for matching controls to cases has been effective.</w:t>
      </w:r>
    </w:p>
    <w:p w:rsidR="00D7645E" w:rsidRDefault="00D7645E" w:rsidP="00D7645E">
      <w:pPr>
        <w:pStyle w:val="Heading2"/>
      </w:pPr>
      <w:bookmarkStart w:id="9" w:name="_Toc359659838"/>
      <w:r w:rsidRPr="0029737A">
        <w:t>Analysis of Outcomes</w:t>
      </w:r>
      <w:bookmarkEnd w:id="9"/>
    </w:p>
    <w:p w:rsidR="00D7645E" w:rsidRPr="0029737A" w:rsidRDefault="00D7645E" w:rsidP="00D7645E">
      <w:pPr>
        <w:pStyle w:val="TextTimesRom11"/>
        <w:tabs>
          <w:tab w:val="left" w:pos="1701"/>
          <w:tab w:val="left" w:pos="4678"/>
        </w:tabs>
        <w:spacing w:after="120" w:line="276" w:lineRule="auto"/>
        <w:ind w:left="0" w:firstLine="720"/>
        <w:rPr>
          <w:sz w:val="24"/>
          <w:szCs w:val="24"/>
        </w:rPr>
      </w:pPr>
      <w:r w:rsidRPr="0029737A">
        <w:rPr>
          <w:sz w:val="24"/>
          <w:szCs w:val="24"/>
        </w:rPr>
        <w:t xml:space="preserve">Outcomes of patients in case and controls can be analyzed using the odds ratio of observing these outcomes.  First, the number of outcomes in cases and controls during the follow-up period are counted.  Table </w:t>
      </w:r>
      <w:r w:rsidR="00BA66F8">
        <w:rPr>
          <w:sz w:val="24"/>
          <w:szCs w:val="24"/>
        </w:rPr>
        <w:t>6</w:t>
      </w:r>
      <w:r w:rsidRPr="0029737A">
        <w:rPr>
          <w:sz w:val="24"/>
          <w:szCs w:val="24"/>
        </w:rPr>
        <w:t xml:space="preserve"> shows the presence of these outcomes</w:t>
      </w:r>
      <w:r>
        <w:rPr>
          <w:sz w:val="24"/>
          <w:szCs w:val="24"/>
        </w:rPr>
        <w:t xml:space="preserve"> among case and controls with positive or negative symbols</w:t>
      </w:r>
      <w:r w:rsidRPr="0029737A">
        <w:rPr>
          <w:sz w:val="24"/>
          <w:szCs w:val="24"/>
        </w:rPr>
        <w:t xml:space="preserve">.  </w:t>
      </w:r>
      <w:r>
        <w:rPr>
          <w:rFonts w:cs="Arial"/>
          <w:sz w:val="24"/>
          <w:szCs w:val="24"/>
        </w:rPr>
        <w:t xml:space="preserve">  </w:t>
      </w:r>
      <w:r w:rsidRPr="0029737A">
        <w:rPr>
          <w:rFonts w:cs="Arial"/>
          <w:sz w:val="24"/>
          <w:szCs w:val="24"/>
          <w:vertAlign w:val="subscript"/>
        </w:rPr>
        <w:t xml:space="preserve"> </w:t>
      </w:r>
    </w:p>
    <w:p w:rsidR="00D7645E" w:rsidRPr="00241D97" w:rsidRDefault="00D7645E" w:rsidP="00BA66F8">
      <w:pPr>
        <w:keepNext/>
        <w:spacing w:line="276" w:lineRule="auto"/>
        <w:jc w:val="center"/>
        <w:rPr>
          <w:b/>
        </w:rPr>
      </w:pPr>
      <w:r w:rsidRPr="00241D97">
        <w:rPr>
          <w:b/>
        </w:rPr>
        <w:t xml:space="preserve">Table </w:t>
      </w:r>
      <w:r w:rsidR="00BA66F8">
        <w:rPr>
          <w:b/>
        </w:rPr>
        <w:t>6</w:t>
      </w:r>
      <w:r w:rsidRPr="00241D97">
        <w:rPr>
          <w:b/>
        </w:rPr>
        <w:t>:  Contingency Table for Adverse Outcomes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9"/>
        <w:gridCol w:w="2059"/>
        <w:gridCol w:w="2059"/>
      </w:tblGrid>
      <w:tr w:rsidR="00D7645E" w:rsidTr="00FC5808">
        <w:trPr>
          <w:jc w:val="center"/>
        </w:trPr>
        <w:tc>
          <w:tcPr>
            <w:tcW w:w="2059" w:type="dxa"/>
          </w:tcPr>
          <w:p w:rsidR="00D7645E" w:rsidRPr="003057A6" w:rsidRDefault="00D7645E" w:rsidP="00BA66F8">
            <w:pPr>
              <w:keepNext/>
              <w:spacing w:line="276" w:lineRule="auto"/>
              <w:jc w:val="center"/>
              <w:rPr>
                <w:rFonts w:cs="Arial"/>
                <w:b/>
                <w:bCs/>
                <w:color w:val="000000"/>
                <w:szCs w:val="22"/>
              </w:rPr>
            </w:pPr>
            <w:r>
              <w:rPr>
                <w:rFonts w:cs="Arial"/>
                <w:b/>
                <w:bCs/>
                <w:color w:val="000000"/>
                <w:szCs w:val="22"/>
              </w:rPr>
              <w:t>O</w:t>
            </w:r>
            <w:r w:rsidRPr="003057A6">
              <w:rPr>
                <w:rFonts w:cs="Arial"/>
                <w:b/>
                <w:bCs/>
                <w:color w:val="000000"/>
                <w:szCs w:val="22"/>
              </w:rPr>
              <w:t>utcome</w:t>
            </w:r>
            <w:r w:rsidR="00777F6D">
              <w:rPr>
                <w:rFonts w:cs="Arial"/>
                <w:b/>
                <w:bCs/>
                <w:color w:val="000000"/>
                <w:szCs w:val="22"/>
              </w:rPr>
              <w:t xml:space="preserve"> =Fall</w:t>
            </w:r>
          </w:p>
        </w:tc>
        <w:tc>
          <w:tcPr>
            <w:tcW w:w="2059" w:type="dxa"/>
          </w:tcPr>
          <w:p w:rsidR="00D7645E" w:rsidRPr="003057A6" w:rsidRDefault="00D7645E" w:rsidP="00BA66F8">
            <w:pPr>
              <w:keepNext/>
              <w:spacing w:line="276" w:lineRule="auto"/>
              <w:jc w:val="center"/>
              <w:rPr>
                <w:rFonts w:cs="Arial"/>
                <w:b/>
                <w:bCs/>
                <w:color w:val="000000"/>
                <w:szCs w:val="22"/>
              </w:rPr>
            </w:pPr>
            <w:r w:rsidRPr="003057A6">
              <w:rPr>
                <w:rFonts w:cs="Arial"/>
                <w:b/>
                <w:bCs/>
                <w:color w:val="000000"/>
                <w:szCs w:val="22"/>
              </w:rPr>
              <w:t>Cases</w:t>
            </w:r>
          </w:p>
        </w:tc>
        <w:tc>
          <w:tcPr>
            <w:tcW w:w="2059" w:type="dxa"/>
          </w:tcPr>
          <w:p w:rsidR="00D7645E" w:rsidRPr="003057A6" w:rsidRDefault="00D7645E" w:rsidP="00BA66F8">
            <w:pPr>
              <w:keepNext/>
              <w:spacing w:line="276" w:lineRule="auto"/>
              <w:jc w:val="center"/>
              <w:rPr>
                <w:rFonts w:cs="Arial"/>
                <w:b/>
                <w:bCs/>
                <w:color w:val="000000"/>
                <w:szCs w:val="22"/>
              </w:rPr>
            </w:pPr>
            <w:r w:rsidRPr="003057A6">
              <w:rPr>
                <w:rFonts w:cs="Arial"/>
                <w:b/>
                <w:bCs/>
                <w:color w:val="000000"/>
                <w:szCs w:val="22"/>
              </w:rPr>
              <w:t>Controls</w:t>
            </w:r>
          </w:p>
        </w:tc>
      </w:tr>
      <w:tr w:rsidR="00D7645E" w:rsidTr="00FC5808">
        <w:trPr>
          <w:jc w:val="center"/>
        </w:trPr>
        <w:tc>
          <w:tcPr>
            <w:tcW w:w="2059" w:type="dxa"/>
          </w:tcPr>
          <w:p w:rsidR="00D7645E" w:rsidRPr="003057A6" w:rsidRDefault="00D7645E" w:rsidP="00FC5808">
            <w:pPr>
              <w:spacing w:line="276" w:lineRule="auto"/>
              <w:jc w:val="center"/>
              <w:rPr>
                <w:rFonts w:cs="Arial"/>
                <w:b/>
                <w:bCs/>
                <w:color w:val="000000"/>
                <w:szCs w:val="22"/>
              </w:rPr>
            </w:pPr>
            <w:r w:rsidRPr="003057A6">
              <w:rPr>
                <w:rFonts w:cs="Arial"/>
                <w:b/>
                <w:bCs/>
                <w:color w:val="000000"/>
                <w:szCs w:val="22"/>
              </w:rPr>
              <w:t>Yes</w:t>
            </w:r>
          </w:p>
        </w:tc>
        <w:tc>
          <w:tcPr>
            <w:tcW w:w="2059" w:type="dxa"/>
          </w:tcPr>
          <w:p w:rsidR="00D7645E" w:rsidRPr="00D7645E" w:rsidRDefault="004C6E84" w:rsidP="00FC5808">
            <w:pPr>
              <w:spacing w:line="276" w:lineRule="auto"/>
              <w:jc w:val="center"/>
            </w:pPr>
            <m:oMath>
              <m:sSub>
                <m:sSubPr>
                  <m:ctrlPr>
                    <w:rPr>
                      <w:rFonts w:ascii="Cambria Math" w:hAnsi="Cambria Math"/>
                      <w:i/>
                    </w:rPr>
                  </m:ctrlPr>
                </m:sSubPr>
                <m:e>
                  <m:r>
                    <w:rPr>
                      <w:rFonts w:ascii="Cambria Math" w:hAnsi="Cambria Math"/>
                    </w:rPr>
                    <m:t>n</m:t>
                  </m:r>
                </m:e>
                <m:sub>
                  <m:r>
                    <w:rPr>
                      <w:rFonts w:ascii="Cambria Math" w:hAnsi="Cambria Math"/>
                    </w:rPr>
                    <m:t>case,+</m:t>
                  </m:r>
                </m:sub>
              </m:sSub>
              <m:r>
                <w:rPr>
                  <w:rFonts w:ascii="Cambria Math" w:hAnsi="Cambria Math"/>
                </w:rPr>
                <m:t xml:space="preserve"> </m:t>
              </m:r>
            </m:oMath>
            <w:r w:rsidR="00777F6D">
              <w:t>= 1</w:t>
            </w:r>
          </w:p>
        </w:tc>
        <w:tc>
          <w:tcPr>
            <w:tcW w:w="2059" w:type="dxa"/>
          </w:tcPr>
          <w:p w:rsidR="00D7645E" w:rsidRPr="00D7645E" w:rsidRDefault="004C6E84" w:rsidP="00FC5808">
            <w:pPr>
              <w:spacing w:line="276" w:lineRule="auto"/>
              <w:jc w:val="center"/>
              <w:rPr>
                <w:rFonts w:cs="Arial"/>
                <w:sz w:val="28"/>
                <w:szCs w:val="28"/>
              </w:rPr>
            </w:pPr>
            <m:oMath>
              <m:sSub>
                <m:sSubPr>
                  <m:ctrlPr>
                    <w:rPr>
                      <w:rFonts w:ascii="Cambria Math" w:hAnsi="Cambria Math"/>
                      <w:i/>
                    </w:rPr>
                  </m:ctrlPr>
                </m:sSubPr>
                <m:e>
                  <m:r>
                    <w:rPr>
                      <w:rFonts w:ascii="Cambria Math" w:hAnsi="Cambria Math"/>
                    </w:rPr>
                    <m:t>n</m:t>
                  </m:r>
                </m:e>
                <m:sub>
                  <m:r>
                    <w:rPr>
                      <w:rFonts w:ascii="Cambria Math" w:hAnsi="Cambria Math"/>
                    </w:rPr>
                    <m:t>control, +</m:t>
                  </m:r>
                </m:sub>
              </m:sSub>
              <m:r>
                <w:rPr>
                  <w:rFonts w:ascii="Cambria Math" w:hAnsi="Cambria Math"/>
                </w:rPr>
                <m:t xml:space="preserve"> </m:t>
              </m:r>
            </m:oMath>
            <w:r w:rsidR="00777F6D">
              <w:rPr>
                <w:rFonts w:cs="Arial"/>
              </w:rPr>
              <w:t>= 1</w:t>
            </w:r>
          </w:p>
        </w:tc>
      </w:tr>
      <w:tr w:rsidR="00D7645E" w:rsidTr="00FC5808">
        <w:trPr>
          <w:jc w:val="center"/>
        </w:trPr>
        <w:tc>
          <w:tcPr>
            <w:tcW w:w="2059" w:type="dxa"/>
          </w:tcPr>
          <w:p w:rsidR="00D7645E" w:rsidRPr="003057A6" w:rsidRDefault="00D7645E" w:rsidP="00FC5808">
            <w:pPr>
              <w:spacing w:line="276" w:lineRule="auto"/>
              <w:jc w:val="center"/>
              <w:rPr>
                <w:rFonts w:cs="Arial"/>
                <w:b/>
                <w:bCs/>
                <w:color w:val="000000"/>
                <w:szCs w:val="22"/>
              </w:rPr>
            </w:pPr>
            <w:r w:rsidRPr="003057A6">
              <w:rPr>
                <w:rFonts w:cs="Arial"/>
                <w:b/>
                <w:bCs/>
                <w:color w:val="000000"/>
                <w:szCs w:val="22"/>
              </w:rPr>
              <w:t>No</w:t>
            </w:r>
          </w:p>
        </w:tc>
        <w:tc>
          <w:tcPr>
            <w:tcW w:w="2059" w:type="dxa"/>
          </w:tcPr>
          <w:p w:rsidR="00D7645E" w:rsidRPr="00D7645E" w:rsidRDefault="004C6E84" w:rsidP="00777F6D">
            <w:pPr>
              <w:spacing w:line="276" w:lineRule="auto"/>
              <w:jc w:val="center"/>
              <w:rPr>
                <w:rFonts w:cs="Arial"/>
                <w:sz w:val="28"/>
                <w:szCs w:val="28"/>
              </w:rPr>
            </w:pPr>
            <m:oMath>
              <m:sSub>
                <m:sSubPr>
                  <m:ctrlPr>
                    <w:rPr>
                      <w:rFonts w:ascii="Cambria Math" w:hAnsi="Cambria Math"/>
                      <w:i/>
                    </w:rPr>
                  </m:ctrlPr>
                </m:sSubPr>
                <m:e>
                  <m:r>
                    <w:rPr>
                      <w:rFonts w:ascii="Cambria Math" w:hAnsi="Cambria Math"/>
                    </w:rPr>
                    <m:t>n</m:t>
                  </m:r>
                </m:e>
                <m:sub>
                  <m:r>
                    <w:rPr>
                      <w:rFonts w:ascii="Cambria Math" w:hAnsi="Cambria Math"/>
                    </w:rPr>
                    <m:t>case, -</m:t>
                  </m:r>
                </m:sub>
              </m:sSub>
              <m:r>
                <w:rPr>
                  <w:rFonts w:ascii="Cambria Math" w:hAnsi="Cambria Math"/>
                </w:rPr>
                <m:t xml:space="preserve"> </m:t>
              </m:r>
            </m:oMath>
            <w:r w:rsidR="00777F6D">
              <w:rPr>
                <w:rFonts w:cs="Arial"/>
              </w:rPr>
              <w:t>= 1</w:t>
            </w:r>
          </w:p>
        </w:tc>
        <w:tc>
          <w:tcPr>
            <w:tcW w:w="2059" w:type="dxa"/>
          </w:tcPr>
          <w:p w:rsidR="00D7645E" w:rsidRPr="00D7645E" w:rsidRDefault="004C6E84" w:rsidP="00FC5808">
            <w:pPr>
              <w:spacing w:line="276" w:lineRule="auto"/>
              <w:jc w:val="center"/>
              <w:rPr>
                <w:rFonts w:cs="Arial"/>
                <w:sz w:val="28"/>
                <w:szCs w:val="28"/>
              </w:rPr>
            </w:pPr>
            <m:oMath>
              <m:sSub>
                <m:sSubPr>
                  <m:ctrlPr>
                    <w:rPr>
                      <w:rFonts w:ascii="Cambria Math" w:hAnsi="Cambria Math"/>
                      <w:i/>
                    </w:rPr>
                  </m:ctrlPr>
                </m:sSubPr>
                <m:e>
                  <m:r>
                    <w:rPr>
                      <w:rFonts w:ascii="Cambria Math" w:hAnsi="Cambria Math"/>
                    </w:rPr>
                    <m:t>n</m:t>
                  </m:r>
                </m:e>
                <m:sub>
                  <m:r>
                    <w:rPr>
                      <w:rFonts w:ascii="Cambria Math" w:hAnsi="Cambria Math"/>
                    </w:rPr>
                    <m:t>control,-</m:t>
                  </m:r>
                </m:sub>
              </m:sSub>
              <m:r>
                <w:rPr>
                  <w:rFonts w:ascii="Cambria Math" w:hAnsi="Cambria Math"/>
                </w:rPr>
                <m:t xml:space="preserve"> </m:t>
              </m:r>
            </m:oMath>
            <w:r w:rsidR="00777F6D">
              <w:rPr>
                <w:rFonts w:cs="Arial"/>
              </w:rPr>
              <w:t>= 3</w:t>
            </w:r>
          </w:p>
        </w:tc>
      </w:tr>
      <w:tr w:rsidR="00D7645E" w:rsidTr="00FC5808">
        <w:trPr>
          <w:jc w:val="center"/>
        </w:trPr>
        <w:tc>
          <w:tcPr>
            <w:tcW w:w="2059" w:type="dxa"/>
          </w:tcPr>
          <w:p w:rsidR="00D7645E" w:rsidRPr="00777F6D" w:rsidRDefault="00D7645E" w:rsidP="00FC5808">
            <w:pPr>
              <w:spacing w:line="276" w:lineRule="auto"/>
              <w:jc w:val="center"/>
              <w:rPr>
                <w:b/>
                <w:bCs/>
                <w:color w:val="000000"/>
                <w:szCs w:val="22"/>
              </w:rPr>
            </w:pPr>
            <w:r w:rsidRPr="00777F6D">
              <w:rPr>
                <w:b/>
                <w:bCs/>
                <w:color w:val="000000"/>
                <w:szCs w:val="22"/>
              </w:rPr>
              <w:t>Total</w:t>
            </w:r>
          </w:p>
        </w:tc>
        <w:tc>
          <w:tcPr>
            <w:tcW w:w="2059" w:type="dxa"/>
          </w:tcPr>
          <w:p w:rsidR="00D7645E" w:rsidRPr="00777F6D" w:rsidRDefault="004C6E84" w:rsidP="00FC5808">
            <w:pPr>
              <w:jc w:val="center"/>
              <w:rPr>
                <w:sz w:val="28"/>
                <w:szCs w:val="28"/>
              </w:rPr>
            </w:pPr>
            <m:oMath>
              <m:sSub>
                <m:sSubPr>
                  <m:ctrlPr>
                    <w:rPr>
                      <w:rFonts w:ascii="Cambria Math" w:hAnsi="Cambria Math"/>
                      <w:i/>
                    </w:rPr>
                  </m:ctrlPr>
                </m:sSubPr>
                <m:e>
                  <m:r>
                    <w:rPr>
                      <w:rFonts w:ascii="Cambria Math" w:hAnsi="Cambria Math"/>
                    </w:rPr>
                    <m:t>n</m:t>
                  </m:r>
                </m:e>
                <m:sub>
                  <m:r>
                    <w:rPr>
                      <w:rFonts w:ascii="Cambria Math" w:hAnsi="Cambria Math"/>
                    </w:rPr>
                    <m:t>case</m:t>
                  </m:r>
                </m:sub>
              </m:sSub>
            </m:oMath>
            <w:r w:rsidR="00777F6D">
              <w:t xml:space="preserve"> </w:t>
            </w:r>
            <w:r w:rsidR="00777F6D" w:rsidRPr="00777F6D">
              <w:t>=</w:t>
            </w:r>
            <w:r w:rsidR="00777F6D">
              <w:t xml:space="preserve"> </w:t>
            </w:r>
            <w:r w:rsidR="00777F6D" w:rsidRPr="00777F6D">
              <w:t>2</w:t>
            </w:r>
          </w:p>
        </w:tc>
        <w:tc>
          <w:tcPr>
            <w:tcW w:w="2059" w:type="dxa"/>
          </w:tcPr>
          <w:p w:rsidR="00D7645E" w:rsidRPr="00777F6D" w:rsidRDefault="004C6E84" w:rsidP="00FC5808">
            <w:pPr>
              <w:jc w:val="center"/>
            </w:pPr>
            <m:oMath>
              <m:sSub>
                <m:sSubPr>
                  <m:ctrlPr>
                    <w:rPr>
                      <w:rFonts w:ascii="Cambria Math" w:hAnsi="Cambria Math"/>
                      <w:i/>
                    </w:rPr>
                  </m:ctrlPr>
                </m:sSubPr>
                <m:e>
                  <m:r>
                    <w:rPr>
                      <w:rFonts w:ascii="Cambria Math" w:hAnsi="Cambria Math"/>
                    </w:rPr>
                    <m:t>n</m:t>
                  </m:r>
                </m:e>
                <m:sub>
                  <m:r>
                    <w:rPr>
                      <w:rFonts w:ascii="Cambria Math" w:hAnsi="Cambria Math"/>
                    </w:rPr>
                    <m:t>control</m:t>
                  </m:r>
                </m:sub>
              </m:sSub>
              <m:r>
                <w:rPr>
                  <w:rFonts w:ascii="Cambria Math"/>
                </w:rPr>
                <m:t xml:space="preserve"> </m:t>
              </m:r>
            </m:oMath>
            <w:r w:rsidR="00777F6D" w:rsidRPr="00777F6D">
              <w:t>=</w:t>
            </w:r>
            <w:r w:rsidR="00777F6D">
              <w:t xml:space="preserve"> </w:t>
            </w:r>
            <w:r w:rsidR="00777F6D" w:rsidRPr="00777F6D">
              <w:t>4</w:t>
            </w:r>
          </w:p>
        </w:tc>
      </w:tr>
    </w:tbl>
    <w:p w:rsidR="00D7645E" w:rsidRDefault="00D7645E" w:rsidP="00D7645E">
      <w:pPr>
        <w:spacing w:line="276" w:lineRule="auto"/>
      </w:pPr>
    </w:p>
    <w:p w:rsidR="00777F6D" w:rsidRDefault="00777F6D" w:rsidP="00D7645E">
      <w:pPr>
        <w:spacing w:line="276" w:lineRule="auto"/>
      </w:pPr>
    </w:p>
    <w:p w:rsidR="00D7645E" w:rsidRDefault="00D7645E" w:rsidP="00D7645E">
      <w:pPr>
        <w:spacing w:line="276" w:lineRule="auto"/>
      </w:pPr>
      <w:r>
        <w:t>The probability of the outcomes in the cases is calculated as:</w:t>
      </w:r>
    </w:p>
    <w:p w:rsidR="00D7645E" w:rsidRPr="00D7645E" w:rsidRDefault="00D7645E" w:rsidP="00D7645E">
      <w:pPr>
        <w:jc w:val="center"/>
      </w:pPr>
      <m:oMathPara>
        <m:oMath>
          <m:r>
            <m:rPr>
              <m:sty m:val="p"/>
            </m:rPr>
            <w:rPr>
              <w:rFonts w:ascii="Cambria Math" w:hAnsi="Cambria Math"/>
            </w:rPr>
            <m:t>Probability of Outcome in Cases=</m:t>
          </m:r>
          <m:f>
            <m:fPr>
              <m:ctrlPr>
                <w:rPr>
                  <w:rFonts w:ascii="Cambria Math" w:eastAsia="Calibri" w:hAnsi="Cambria Math"/>
                  <w:sz w:val="22"/>
                  <w:szCs w:val="22"/>
                </w:rPr>
              </m:ctrlPr>
            </m:fPr>
            <m:num>
              <m:sSub>
                <m:sSubPr>
                  <m:ctrlPr>
                    <w:rPr>
                      <w:rFonts w:ascii="Cambria Math" w:hAnsi="Cambria Math"/>
                      <w:i/>
                    </w:rPr>
                  </m:ctrlPr>
                </m:sSubPr>
                <m:e>
                  <m:r>
                    <w:rPr>
                      <w:rFonts w:ascii="Cambria Math" w:hAnsi="Cambria Math"/>
                    </w:rPr>
                    <m:t>n</m:t>
                  </m:r>
                </m:e>
                <m:sub>
                  <m:r>
                    <w:rPr>
                      <w:rFonts w:ascii="Cambria Math" w:hAnsi="Cambria Math"/>
                    </w:rPr>
                    <m:t>cas</m:t>
                  </m:r>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case</m:t>
                  </m:r>
                </m:sub>
              </m:sSub>
            </m:den>
          </m:f>
        </m:oMath>
      </m:oMathPara>
    </w:p>
    <w:p w:rsidR="00D7645E" w:rsidRPr="00D7645E" w:rsidRDefault="00D7645E" w:rsidP="00D7645E">
      <w:pPr>
        <w:jc w:val="center"/>
      </w:pPr>
      <m:oMathPara>
        <m:oMath>
          <m:r>
            <m:rPr>
              <m:sty m:val="p"/>
            </m:rPr>
            <w:rPr>
              <w:rFonts w:ascii="Cambria Math" w:hAnsi="Cambria Math"/>
            </w:rPr>
            <m:t>Probability of Outcome in Controls=</m:t>
          </m:r>
          <m:f>
            <m:fPr>
              <m:ctrlPr>
                <w:rPr>
                  <w:rFonts w:ascii="Cambria Math" w:eastAsia="Calibri" w:hAnsi="Cambria Math"/>
                  <w:sz w:val="22"/>
                  <w:szCs w:val="22"/>
                </w:rPr>
              </m:ctrlPr>
            </m:fPr>
            <m:num>
              <m:sSub>
                <m:sSubPr>
                  <m:ctrlPr>
                    <w:rPr>
                      <w:rFonts w:ascii="Cambria Math" w:hAnsi="Cambria Math"/>
                      <w:i/>
                    </w:rPr>
                  </m:ctrlPr>
                </m:sSubPr>
                <m:e>
                  <m:r>
                    <w:rPr>
                      <w:rFonts w:ascii="Cambria Math" w:hAnsi="Cambria Math"/>
                    </w:rPr>
                    <m:t>n</m:t>
                  </m:r>
                </m:e>
                <m:sub>
                  <m:r>
                    <w:rPr>
                      <w:rFonts w:ascii="Cambria Math" w:hAnsi="Cambria Math"/>
                    </w:rPr>
                    <m:t>control,+</m:t>
                  </m:r>
                </m:sub>
              </m:sSub>
            </m:num>
            <m:den>
              <m:sSub>
                <m:sSubPr>
                  <m:ctrlPr>
                    <w:rPr>
                      <w:rFonts w:ascii="Cambria Math" w:hAnsi="Cambria Math"/>
                      <w:i/>
                    </w:rPr>
                  </m:ctrlPr>
                </m:sSubPr>
                <m:e>
                  <m:r>
                    <w:rPr>
                      <w:rFonts w:ascii="Cambria Math" w:hAnsi="Cambria Math"/>
                    </w:rPr>
                    <m:t>n</m:t>
                  </m:r>
                </m:e>
                <m:sub>
                  <m:r>
                    <w:rPr>
                      <w:rFonts w:ascii="Cambria Math" w:hAnsi="Cambria Math"/>
                    </w:rPr>
                    <m:t>control</m:t>
                  </m:r>
                </m:sub>
              </m:sSub>
            </m:den>
          </m:f>
        </m:oMath>
      </m:oMathPara>
    </w:p>
    <w:p w:rsidR="00D7645E" w:rsidRDefault="00D7645E" w:rsidP="00D7645E">
      <w:pPr>
        <w:ind w:firstLine="720"/>
      </w:pPr>
      <w:r>
        <w:t xml:space="preserve">We calculate the relative risks associated with the cases using the odds ratio associated with the outcomes.  In particular, given Table </w:t>
      </w:r>
      <w:r w:rsidR="002E6D20">
        <w:t>5</w:t>
      </w:r>
      <w:r>
        <w:t xml:space="preserve">, the test statistic, L, is calculated as:  </w:t>
      </w:r>
    </w:p>
    <w:p w:rsidR="00D7645E" w:rsidRDefault="00D7645E" w:rsidP="00D7645E">
      <w:pPr>
        <w:ind w:firstLine="720"/>
      </w:pPr>
    </w:p>
    <w:p w:rsidR="00D7645E" w:rsidRPr="00D7645E" w:rsidRDefault="00D7645E" w:rsidP="00D7645E">
      <w:pPr>
        <w:pStyle w:val="Default"/>
        <w:spacing w:after="120" w:line="276" w:lineRule="auto"/>
        <w:jc w:val="center"/>
        <w:rPr>
          <w:rFonts w:ascii="Times New Roman" w:hAnsi="Times New Roman" w:cs="Times New Roman"/>
        </w:rPr>
      </w:pPr>
      <m:oMathPara>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case,+</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control,-</m:t>
                  </m:r>
                </m:sub>
              </m:sSub>
            </m:num>
            <m:den>
              <m:sSub>
                <m:sSubPr>
                  <m:ctrlPr>
                    <w:rPr>
                      <w:rFonts w:ascii="Cambria Math" w:hAnsi="Cambria Math"/>
                      <w:i/>
                    </w:rPr>
                  </m:ctrlPr>
                </m:sSubPr>
                <m:e>
                  <m:r>
                    <w:rPr>
                      <w:rFonts w:ascii="Cambria Math" w:hAnsi="Cambria Math"/>
                    </w:rPr>
                    <m:t>n</m:t>
                  </m:r>
                </m:e>
                <m:sub>
                  <m:r>
                    <w:rPr>
                      <w:rFonts w:ascii="Cambria Math" w:hAnsi="Cambria Math"/>
                    </w:rPr>
                    <m:t>control, +</m:t>
                  </m:r>
                </m:sub>
              </m:sSub>
              <m:sSub>
                <m:sSubPr>
                  <m:ctrlPr>
                    <w:rPr>
                      <w:rFonts w:ascii="Cambria Math" w:hAnsi="Cambria Math"/>
                      <w:i/>
                    </w:rPr>
                  </m:ctrlPr>
                </m:sSubPr>
                <m:e>
                  <m:r>
                    <w:rPr>
                      <w:rFonts w:ascii="Cambria Math" w:hAnsi="Cambria Math"/>
                    </w:rPr>
                    <m:t>n</m:t>
                  </m:r>
                </m:e>
                <m:sub>
                  <m:r>
                    <w:rPr>
                      <w:rFonts w:ascii="Cambria Math" w:hAnsi="Cambria Math"/>
                    </w:rPr>
                    <m:t>case, -</m:t>
                  </m:r>
                </m:sub>
              </m:sSub>
            </m:den>
          </m:f>
        </m:oMath>
      </m:oMathPara>
    </w:p>
    <w:p w:rsidR="00D7645E" w:rsidRPr="00E577C8" w:rsidRDefault="00D7645E" w:rsidP="00D7645E">
      <w:r>
        <w:t>If there are a large number of cases in the study, t</w:t>
      </w:r>
      <w:r w:rsidRPr="00E577C8">
        <w:t xml:space="preserve">he distribution of the log odds ratio is approximately normal.   </w:t>
      </w:r>
      <w:r w:rsidR="007947BE">
        <w:t>In a Normal distribution</w:t>
      </w:r>
      <w:r w:rsidR="00701364">
        <w:t>,</w:t>
      </w:r>
      <w:r w:rsidR="007947BE">
        <w:t xml:space="preserve"> 95% of the data would fall within 1.96 standard deviation of the mean.  </w:t>
      </w:r>
      <w:r w:rsidRPr="00E577C8">
        <w:t>Therefore, the approximate 95% confidence interval for the population log odds ratio was estimated as</w:t>
      </w:r>
      <w:r>
        <w:t xml:space="preserve"> </w:t>
      </w:r>
      <w:r w:rsidRPr="00E577C8">
        <w:t>[</w:t>
      </w:r>
      <w:r w:rsidRPr="00E577C8">
        <w:rPr>
          <w:rStyle w:val="EndnoteReference"/>
          <w:szCs w:val="24"/>
          <w:vertAlign w:val="baseline"/>
        </w:rPr>
        <w:endnoteReference w:id="17"/>
      </w:r>
      <w:r w:rsidRPr="00E577C8">
        <w:t xml:space="preserve">]: </w:t>
      </w:r>
    </w:p>
    <w:p w:rsidR="00D7645E" w:rsidRDefault="00D7645E" w:rsidP="00D7645E">
      <w:pPr>
        <w:pStyle w:val="TextTimesRom11"/>
        <w:tabs>
          <w:tab w:val="left" w:pos="1701"/>
          <w:tab w:val="left" w:pos="4678"/>
        </w:tabs>
        <w:spacing w:after="120" w:line="276" w:lineRule="auto"/>
        <w:ind w:left="0"/>
        <w:jc w:val="center"/>
      </w:pPr>
      <m:oMathPara>
        <m:oMath>
          <m:r>
            <m:rPr>
              <m:sty m:val="p"/>
            </m:rPr>
            <w:rPr>
              <w:rFonts w:ascii="Cambria Math" w:hAnsi="Cambria Math"/>
            </w:rPr>
            <m:t xml:space="preserve">L ± 1.96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e>
          </m:rad>
        </m:oMath>
      </m:oMathPara>
    </w:p>
    <w:p w:rsidR="007947BE" w:rsidRPr="00D7645E" w:rsidRDefault="007947BE" w:rsidP="007947BE">
      <w:pPr>
        <w:pStyle w:val="TextTimesRom11"/>
        <w:tabs>
          <w:tab w:val="left" w:pos="1701"/>
          <w:tab w:val="left" w:pos="4678"/>
        </w:tabs>
        <w:spacing w:after="120" w:line="276" w:lineRule="auto"/>
        <w:ind w:left="0"/>
        <w:rPr>
          <w:sz w:val="24"/>
          <w:szCs w:val="24"/>
        </w:rPr>
      </w:pPr>
      <w:r>
        <w:t xml:space="preserve">If this confidence interval does not include 1, then the hypothesis that cases and controls have the same outcomes has less than 0.05 chance of occurrence.  Since the probability is low, therefore one could reject the hypothesis with relative confidence.  </w:t>
      </w:r>
    </w:p>
    <w:p w:rsidR="007947BE"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The above procedure shows how the statistical significance of difference between cases and controls are examined.  Table </w:t>
      </w:r>
      <w:r w:rsidR="00CE0D98">
        <w:rPr>
          <w:sz w:val="24"/>
          <w:szCs w:val="24"/>
        </w:rPr>
        <w:t>7</w:t>
      </w:r>
      <w:r>
        <w:rPr>
          <w:sz w:val="24"/>
          <w:szCs w:val="24"/>
        </w:rPr>
        <w:t xml:space="preserve"> applies these concepts to our data.  </w:t>
      </w:r>
      <w:r w:rsidR="007947BE">
        <w:rPr>
          <w:sz w:val="24"/>
          <w:szCs w:val="24"/>
        </w:rPr>
        <w:t xml:space="preserve">Obviously, we have very few cases and controls and one would not expect the findings to be significant but we apply the proposed method to these data to illustrate the use of the formulas.  </w:t>
      </w:r>
      <w:r>
        <w:rPr>
          <w:sz w:val="24"/>
          <w:szCs w:val="24"/>
        </w:rPr>
        <w:t>W</w:t>
      </w:r>
      <w:r w:rsidRPr="00B6443F">
        <w:rPr>
          <w:sz w:val="24"/>
          <w:szCs w:val="24"/>
        </w:rPr>
        <w:t xml:space="preserve">e can examine the outcomes </w:t>
      </w:r>
      <w:r>
        <w:rPr>
          <w:sz w:val="24"/>
          <w:szCs w:val="24"/>
        </w:rPr>
        <w:t xml:space="preserve">during the follow-up period </w:t>
      </w:r>
      <w:r w:rsidRPr="00B6443F">
        <w:rPr>
          <w:sz w:val="24"/>
          <w:szCs w:val="24"/>
        </w:rPr>
        <w:t>among cases (i.e. 1 and 3) and controls (i.e. 2, 4, 8, and 9).</w:t>
      </w:r>
      <w:r>
        <w:rPr>
          <w:sz w:val="24"/>
          <w:szCs w:val="24"/>
        </w:rPr>
        <w:t xml:space="preserve">  </w:t>
      </w:r>
      <w:r w:rsidR="00777F6D">
        <w:rPr>
          <w:sz w:val="24"/>
          <w:szCs w:val="24"/>
        </w:rPr>
        <w:t>From Table 5, t</w:t>
      </w:r>
      <w:r>
        <w:rPr>
          <w:sz w:val="24"/>
          <w:szCs w:val="24"/>
        </w:rPr>
        <w:t>he test statistic L is calculate</w:t>
      </w:r>
      <w:r w:rsidR="007947BE">
        <w:rPr>
          <w:sz w:val="24"/>
          <w:szCs w:val="24"/>
        </w:rPr>
        <w:t>d as 3:</w:t>
      </w:r>
    </w:p>
    <w:p w:rsidR="007947BE" w:rsidRDefault="007947BE" w:rsidP="00D7645E">
      <w:pPr>
        <w:pStyle w:val="TextTimesRom11"/>
        <w:tabs>
          <w:tab w:val="left" w:pos="1701"/>
          <w:tab w:val="left" w:pos="4678"/>
        </w:tabs>
        <w:spacing w:after="120" w:line="276" w:lineRule="auto"/>
        <w:ind w:left="0" w:firstLine="720"/>
      </w:pPr>
      <m:oMathPara>
        <m:oMath>
          <m:r>
            <w:rPr>
              <w:rFonts w:ascii="Cambria Math" w:hAnsi="Cambria Math"/>
            </w:rPr>
            <m:t>L=</m:t>
          </m:r>
          <m:f>
            <m:fPr>
              <m:ctrlPr>
                <w:rPr>
                  <w:rFonts w:ascii="Cambria Math" w:hAnsi="Cambria Math"/>
                  <w:i/>
                </w:rPr>
              </m:ctrlPr>
            </m:fPr>
            <m:num>
              <m:r>
                <w:rPr>
                  <w:rFonts w:ascii="Cambria Math" w:hAnsi="Cambria Math"/>
                </w:rPr>
                <m:t>1×3</m:t>
              </m:r>
            </m:num>
            <m:den>
              <m:r>
                <w:rPr>
                  <w:rFonts w:ascii="Cambria Math" w:hAnsi="Cambria Math"/>
                </w:rPr>
                <m:t>1×1</m:t>
              </m:r>
            </m:den>
          </m:f>
          <m:r>
            <w:rPr>
              <w:rFonts w:ascii="Cambria Math" w:hAnsi="Cambria Math"/>
            </w:rPr>
            <m:t>=3</m:t>
          </m:r>
        </m:oMath>
      </m:oMathPara>
    </w:p>
    <w:p w:rsidR="00701364" w:rsidRDefault="00701364" w:rsidP="00701364">
      <w:pPr>
        <w:pStyle w:val="TextTimesRom11"/>
        <w:tabs>
          <w:tab w:val="left" w:pos="1701"/>
          <w:tab w:val="left" w:pos="4678"/>
        </w:tabs>
        <w:spacing w:after="120" w:line="276" w:lineRule="auto"/>
        <w:ind w:left="0"/>
      </w:pPr>
      <w:r>
        <w:rPr>
          <w:sz w:val="24"/>
          <w:szCs w:val="24"/>
        </w:rPr>
        <w:t xml:space="preserve">The 95% upper and lower control limits for these data are set at 6.58 and a negative number, which is displayed as 0 as no negative numbers are possible.  </w:t>
      </w:r>
    </w:p>
    <w:p w:rsidR="00701364" w:rsidRDefault="00701364" w:rsidP="00701364">
      <w:pPr>
        <w:pStyle w:val="TextTimesRom11"/>
        <w:tabs>
          <w:tab w:val="left" w:pos="1701"/>
          <w:tab w:val="left" w:pos="4678"/>
        </w:tabs>
        <w:spacing w:after="120" w:line="276" w:lineRule="auto"/>
        <w:ind w:left="0"/>
        <w:jc w:val="center"/>
      </w:pPr>
      <m:oMathPara>
        <m:oMath>
          <m:r>
            <m:rPr>
              <m:sty m:val="p"/>
            </m:rPr>
            <w:rPr>
              <w:rFonts w:ascii="Cambria Math" w:hAnsi="Cambria Math"/>
            </w:rPr>
            <m:t xml:space="preserve">Confidence Interval=3 ± 1.96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3</m:t>
                  </m:r>
                </m:den>
              </m:f>
            </m:e>
          </m:rad>
        </m:oMath>
      </m:oMathPara>
    </w:p>
    <w:p w:rsidR="00D7645E" w:rsidRDefault="00B03115" w:rsidP="00701364">
      <w:pPr>
        <w:pStyle w:val="TextTimesRom11"/>
        <w:tabs>
          <w:tab w:val="left" w:pos="1701"/>
          <w:tab w:val="left" w:pos="4678"/>
        </w:tabs>
        <w:spacing w:after="120" w:line="276" w:lineRule="auto"/>
        <w:ind w:left="0"/>
        <w:rPr>
          <w:sz w:val="24"/>
          <w:szCs w:val="24"/>
        </w:rPr>
      </w:pPr>
      <w:r>
        <w:rPr>
          <w:sz w:val="24"/>
          <w:szCs w:val="24"/>
        </w:rPr>
        <w:t xml:space="preserve">The confidence interval for the ratio includes 1. Therefore, the hypothesis of significant difference between cases and controls </w:t>
      </w:r>
      <w:r w:rsidR="007947BE">
        <w:rPr>
          <w:sz w:val="24"/>
          <w:szCs w:val="24"/>
        </w:rPr>
        <w:t xml:space="preserve">cannot be rejected.  </w:t>
      </w:r>
    </w:p>
    <w:p w:rsidR="00D7645E" w:rsidRPr="004638BE" w:rsidRDefault="00D7645E" w:rsidP="00D7645E">
      <w:pPr>
        <w:pStyle w:val="TextTimesRom11"/>
        <w:keepNext/>
        <w:tabs>
          <w:tab w:val="left" w:pos="1701"/>
          <w:tab w:val="left" w:pos="4678"/>
        </w:tabs>
        <w:ind w:left="0"/>
        <w:jc w:val="center"/>
        <w:rPr>
          <w:b/>
          <w:sz w:val="24"/>
          <w:szCs w:val="24"/>
        </w:rPr>
      </w:pPr>
      <w:r w:rsidRPr="004638BE">
        <w:rPr>
          <w:b/>
          <w:sz w:val="24"/>
          <w:szCs w:val="24"/>
        </w:rPr>
        <w:t xml:space="preserve">Table </w:t>
      </w:r>
      <w:r w:rsidR="00CE0D98">
        <w:rPr>
          <w:b/>
          <w:sz w:val="24"/>
          <w:szCs w:val="24"/>
        </w:rPr>
        <w:t>7</w:t>
      </w:r>
      <w:r w:rsidRPr="004638BE">
        <w:rPr>
          <w:b/>
          <w:sz w:val="24"/>
          <w:szCs w:val="24"/>
        </w:rPr>
        <w:t>:  Calculation of Odds Ratio for Example Cases and Controls</w:t>
      </w:r>
    </w:p>
    <w:tbl>
      <w:tblPr>
        <w:tblW w:w="4115" w:type="dxa"/>
        <w:jc w:val="center"/>
        <w:tblInd w:w="-292" w:type="dxa"/>
        <w:tblLook w:val="04A0"/>
      </w:tblPr>
      <w:tblGrid>
        <w:gridCol w:w="1885"/>
        <w:gridCol w:w="1120"/>
        <w:gridCol w:w="1110"/>
      </w:tblGrid>
      <w:tr w:rsidR="00D7645E" w:rsidRPr="004638BE" w:rsidTr="00FC5808">
        <w:trPr>
          <w:trHeight w:val="330"/>
          <w:jc w:val="center"/>
        </w:trPr>
        <w:tc>
          <w:tcPr>
            <w:tcW w:w="18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Outcome</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Cases</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Controls</w:t>
            </w:r>
          </w:p>
        </w:tc>
      </w:tr>
      <w:tr w:rsidR="00D7645E" w:rsidRPr="004638BE" w:rsidTr="00FC5808">
        <w:trPr>
          <w:trHeight w:val="390"/>
          <w:jc w:val="center"/>
        </w:trPr>
        <w:tc>
          <w:tcPr>
            <w:tcW w:w="1885" w:type="dxa"/>
            <w:tcBorders>
              <w:top w:val="nil"/>
              <w:left w:val="single" w:sz="8" w:space="0" w:color="auto"/>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Yes</w:t>
            </w:r>
          </w:p>
        </w:tc>
        <w:tc>
          <w:tcPr>
            <w:tcW w:w="112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color w:val="000000"/>
                <w:szCs w:val="24"/>
              </w:rPr>
            </w:pPr>
            <w:r w:rsidRPr="004638BE">
              <w:rPr>
                <w:color w:val="000000"/>
                <w:szCs w:val="24"/>
              </w:rPr>
              <w:t>1</w:t>
            </w:r>
          </w:p>
        </w:tc>
        <w:tc>
          <w:tcPr>
            <w:tcW w:w="111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color w:val="000000"/>
                <w:sz w:val="28"/>
                <w:szCs w:val="28"/>
              </w:rPr>
            </w:pPr>
            <w:r w:rsidRPr="004638BE">
              <w:rPr>
                <w:color w:val="000000"/>
                <w:sz w:val="28"/>
                <w:szCs w:val="28"/>
              </w:rPr>
              <w:t>1</w:t>
            </w:r>
          </w:p>
        </w:tc>
      </w:tr>
      <w:tr w:rsidR="00D7645E" w:rsidRPr="004638BE" w:rsidTr="00FC5808">
        <w:trPr>
          <w:trHeight w:val="390"/>
          <w:jc w:val="center"/>
        </w:trPr>
        <w:tc>
          <w:tcPr>
            <w:tcW w:w="1885" w:type="dxa"/>
            <w:tcBorders>
              <w:top w:val="nil"/>
              <w:left w:val="single" w:sz="8" w:space="0" w:color="auto"/>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No</w:t>
            </w:r>
          </w:p>
        </w:tc>
        <w:tc>
          <w:tcPr>
            <w:tcW w:w="112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color w:val="000000"/>
                <w:sz w:val="28"/>
                <w:szCs w:val="28"/>
              </w:rPr>
            </w:pPr>
            <w:r w:rsidRPr="004638BE">
              <w:rPr>
                <w:color w:val="000000"/>
                <w:sz w:val="28"/>
                <w:szCs w:val="28"/>
              </w:rPr>
              <w:t>1</w:t>
            </w:r>
          </w:p>
        </w:tc>
        <w:tc>
          <w:tcPr>
            <w:tcW w:w="111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color w:val="000000"/>
                <w:sz w:val="28"/>
                <w:szCs w:val="28"/>
              </w:rPr>
            </w:pPr>
            <w:r w:rsidRPr="004638BE">
              <w:rPr>
                <w:color w:val="000000"/>
                <w:sz w:val="28"/>
                <w:szCs w:val="28"/>
              </w:rPr>
              <w:t>3</w:t>
            </w:r>
          </w:p>
        </w:tc>
      </w:tr>
      <w:tr w:rsidR="00D7645E" w:rsidRPr="004638BE" w:rsidTr="00FC5808">
        <w:trPr>
          <w:trHeight w:val="390"/>
          <w:jc w:val="center"/>
        </w:trPr>
        <w:tc>
          <w:tcPr>
            <w:tcW w:w="1885" w:type="dxa"/>
            <w:tcBorders>
              <w:top w:val="nil"/>
              <w:left w:val="single" w:sz="8" w:space="0" w:color="auto"/>
              <w:bottom w:val="single" w:sz="8" w:space="0" w:color="auto"/>
              <w:right w:val="single" w:sz="8" w:space="0" w:color="auto"/>
            </w:tcBorders>
            <w:shd w:val="clear" w:color="auto" w:fill="auto"/>
            <w:vAlign w:val="center"/>
            <w:hideMark/>
          </w:tcPr>
          <w:p w:rsidR="00D7645E" w:rsidRPr="004638BE" w:rsidRDefault="00D7645E" w:rsidP="00FC5808">
            <w:pPr>
              <w:jc w:val="center"/>
              <w:rPr>
                <w:b/>
                <w:bCs/>
                <w:color w:val="000000"/>
                <w:szCs w:val="24"/>
              </w:rPr>
            </w:pPr>
            <w:r w:rsidRPr="004638BE">
              <w:rPr>
                <w:rFonts w:cs="Arial"/>
                <w:b/>
                <w:bCs/>
                <w:color w:val="000000"/>
                <w:szCs w:val="22"/>
              </w:rPr>
              <w:t>Total</w:t>
            </w:r>
          </w:p>
        </w:tc>
        <w:tc>
          <w:tcPr>
            <w:tcW w:w="112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color w:val="000000"/>
                <w:sz w:val="28"/>
                <w:szCs w:val="28"/>
              </w:rPr>
            </w:pPr>
            <w:r w:rsidRPr="004638BE">
              <w:rPr>
                <w:color w:val="000000"/>
                <w:sz w:val="28"/>
                <w:szCs w:val="28"/>
              </w:rPr>
              <w:t>2</w:t>
            </w:r>
          </w:p>
        </w:tc>
        <w:tc>
          <w:tcPr>
            <w:tcW w:w="1110" w:type="dxa"/>
            <w:tcBorders>
              <w:top w:val="nil"/>
              <w:left w:val="nil"/>
              <w:bottom w:val="single" w:sz="8" w:space="0" w:color="auto"/>
              <w:right w:val="single" w:sz="8" w:space="0" w:color="auto"/>
            </w:tcBorders>
            <w:shd w:val="clear" w:color="auto" w:fill="auto"/>
            <w:hideMark/>
          </w:tcPr>
          <w:p w:rsidR="00D7645E" w:rsidRPr="004638BE" w:rsidRDefault="00D7645E" w:rsidP="00FC5808">
            <w:pPr>
              <w:jc w:val="center"/>
              <w:rPr>
                <w:rFonts w:ascii="Calibri" w:hAnsi="Calibri"/>
                <w:color w:val="000000"/>
                <w:szCs w:val="24"/>
              </w:rPr>
            </w:pPr>
            <w:r w:rsidRPr="004638BE">
              <w:rPr>
                <w:rFonts w:ascii="Calibri" w:hAnsi="Calibri"/>
                <w:color w:val="000000"/>
                <w:szCs w:val="24"/>
              </w:rPr>
              <w:t>4</w:t>
            </w:r>
          </w:p>
        </w:tc>
      </w:tr>
      <w:tr w:rsidR="00D7645E" w:rsidRPr="004638BE" w:rsidTr="00FC5808">
        <w:trPr>
          <w:trHeight w:val="300"/>
          <w:jc w:val="center"/>
        </w:trPr>
        <w:tc>
          <w:tcPr>
            <w:tcW w:w="1885"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c>
          <w:tcPr>
            <w:tcW w:w="112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c>
          <w:tcPr>
            <w:tcW w:w="111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r>
      <w:tr w:rsidR="00D7645E" w:rsidRPr="004638BE" w:rsidTr="00FC5808">
        <w:trPr>
          <w:trHeight w:val="315"/>
          <w:jc w:val="center"/>
        </w:trPr>
        <w:tc>
          <w:tcPr>
            <w:tcW w:w="1885" w:type="dxa"/>
            <w:tcBorders>
              <w:top w:val="nil"/>
              <w:left w:val="nil"/>
              <w:bottom w:val="nil"/>
              <w:right w:val="nil"/>
            </w:tcBorders>
            <w:shd w:val="clear" w:color="auto" w:fill="auto"/>
            <w:vAlign w:val="center"/>
            <w:hideMark/>
          </w:tcPr>
          <w:p w:rsidR="00D7645E" w:rsidRPr="004638BE" w:rsidRDefault="00D7645E" w:rsidP="00FC5808">
            <w:pPr>
              <w:jc w:val="right"/>
              <w:rPr>
                <w:b/>
                <w:bCs/>
                <w:color w:val="000000"/>
                <w:szCs w:val="24"/>
              </w:rPr>
            </w:pPr>
            <w:r w:rsidRPr="004638BE">
              <w:rPr>
                <w:b/>
                <w:bCs/>
                <w:color w:val="000000"/>
                <w:szCs w:val="24"/>
              </w:rPr>
              <w:t>L=</w:t>
            </w:r>
          </w:p>
        </w:tc>
        <w:tc>
          <w:tcPr>
            <w:tcW w:w="1120" w:type="dxa"/>
            <w:tcBorders>
              <w:top w:val="nil"/>
              <w:left w:val="nil"/>
              <w:bottom w:val="nil"/>
              <w:right w:val="nil"/>
            </w:tcBorders>
            <w:shd w:val="clear" w:color="auto" w:fill="auto"/>
            <w:noWrap/>
            <w:vAlign w:val="bottom"/>
            <w:hideMark/>
          </w:tcPr>
          <w:p w:rsidR="00D7645E" w:rsidRPr="004638BE" w:rsidRDefault="00D7645E" w:rsidP="00FC5808">
            <w:pPr>
              <w:jc w:val="center"/>
              <w:rPr>
                <w:rFonts w:ascii="Calibri" w:hAnsi="Calibri"/>
                <w:color w:val="000000"/>
                <w:szCs w:val="22"/>
              </w:rPr>
            </w:pPr>
            <w:r w:rsidRPr="004638BE">
              <w:rPr>
                <w:rFonts w:ascii="Calibri" w:hAnsi="Calibri"/>
                <w:color w:val="000000"/>
                <w:sz w:val="22"/>
                <w:szCs w:val="22"/>
              </w:rPr>
              <w:t>3</w:t>
            </w:r>
          </w:p>
        </w:tc>
        <w:tc>
          <w:tcPr>
            <w:tcW w:w="111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r>
      <w:tr w:rsidR="00D7645E" w:rsidRPr="004638BE" w:rsidTr="00FC5808">
        <w:trPr>
          <w:trHeight w:val="315"/>
          <w:jc w:val="center"/>
        </w:trPr>
        <w:tc>
          <w:tcPr>
            <w:tcW w:w="1885" w:type="dxa"/>
            <w:tcBorders>
              <w:top w:val="nil"/>
              <w:left w:val="nil"/>
              <w:bottom w:val="nil"/>
              <w:right w:val="nil"/>
            </w:tcBorders>
            <w:shd w:val="clear" w:color="auto" w:fill="auto"/>
            <w:vAlign w:val="center"/>
            <w:hideMark/>
          </w:tcPr>
          <w:p w:rsidR="00D7645E" w:rsidRPr="004638BE" w:rsidRDefault="00D7645E" w:rsidP="00FC5808">
            <w:pPr>
              <w:jc w:val="right"/>
              <w:rPr>
                <w:b/>
                <w:bCs/>
                <w:color w:val="000000"/>
                <w:szCs w:val="24"/>
              </w:rPr>
            </w:pPr>
            <w:r w:rsidRPr="004638BE">
              <w:rPr>
                <w:b/>
                <w:bCs/>
                <w:color w:val="000000"/>
                <w:szCs w:val="24"/>
              </w:rPr>
              <w:t>Variance=</w:t>
            </w:r>
          </w:p>
        </w:tc>
        <w:tc>
          <w:tcPr>
            <w:tcW w:w="1120" w:type="dxa"/>
            <w:tcBorders>
              <w:top w:val="nil"/>
              <w:left w:val="nil"/>
              <w:bottom w:val="nil"/>
              <w:right w:val="nil"/>
            </w:tcBorders>
            <w:shd w:val="clear" w:color="auto" w:fill="auto"/>
            <w:noWrap/>
            <w:vAlign w:val="bottom"/>
            <w:hideMark/>
          </w:tcPr>
          <w:p w:rsidR="00D7645E" w:rsidRPr="004638BE" w:rsidRDefault="00D7645E" w:rsidP="00FC5808">
            <w:pPr>
              <w:jc w:val="center"/>
              <w:rPr>
                <w:rFonts w:ascii="Calibri" w:hAnsi="Calibri"/>
                <w:color w:val="000000"/>
                <w:szCs w:val="22"/>
              </w:rPr>
            </w:pPr>
            <w:r w:rsidRPr="004638BE">
              <w:rPr>
                <w:rFonts w:ascii="Calibri" w:hAnsi="Calibri"/>
                <w:color w:val="000000"/>
                <w:sz w:val="22"/>
                <w:szCs w:val="22"/>
              </w:rPr>
              <w:t>3.33</w:t>
            </w:r>
          </w:p>
        </w:tc>
        <w:tc>
          <w:tcPr>
            <w:tcW w:w="111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r>
      <w:tr w:rsidR="00D7645E" w:rsidRPr="004638BE" w:rsidTr="00FC5808">
        <w:trPr>
          <w:trHeight w:val="315"/>
          <w:jc w:val="center"/>
        </w:trPr>
        <w:tc>
          <w:tcPr>
            <w:tcW w:w="1885" w:type="dxa"/>
            <w:tcBorders>
              <w:top w:val="nil"/>
              <w:left w:val="nil"/>
              <w:bottom w:val="nil"/>
              <w:right w:val="nil"/>
            </w:tcBorders>
            <w:shd w:val="clear" w:color="auto" w:fill="auto"/>
            <w:vAlign w:val="center"/>
            <w:hideMark/>
          </w:tcPr>
          <w:p w:rsidR="00D7645E" w:rsidRPr="004638BE" w:rsidRDefault="00D7645E" w:rsidP="00FC5808">
            <w:pPr>
              <w:jc w:val="right"/>
              <w:rPr>
                <w:b/>
                <w:bCs/>
                <w:color w:val="000000"/>
                <w:szCs w:val="24"/>
              </w:rPr>
            </w:pPr>
            <w:r w:rsidRPr="004638BE">
              <w:rPr>
                <w:b/>
                <w:bCs/>
                <w:color w:val="000000"/>
                <w:szCs w:val="24"/>
              </w:rPr>
              <w:t>Upper Limit</w:t>
            </w:r>
            <w:r>
              <w:rPr>
                <w:b/>
                <w:bCs/>
                <w:color w:val="000000"/>
                <w:szCs w:val="24"/>
              </w:rPr>
              <w:t>=</w:t>
            </w:r>
          </w:p>
        </w:tc>
        <w:tc>
          <w:tcPr>
            <w:tcW w:w="1120" w:type="dxa"/>
            <w:tcBorders>
              <w:top w:val="nil"/>
              <w:left w:val="nil"/>
              <w:bottom w:val="nil"/>
              <w:right w:val="nil"/>
            </w:tcBorders>
            <w:shd w:val="clear" w:color="auto" w:fill="auto"/>
            <w:noWrap/>
            <w:vAlign w:val="bottom"/>
            <w:hideMark/>
          </w:tcPr>
          <w:p w:rsidR="00D7645E" w:rsidRPr="004638BE" w:rsidRDefault="00D7645E" w:rsidP="00FC5808">
            <w:pPr>
              <w:jc w:val="center"/>
              <w:rPr>
                <w:rFonts w:ascii="Calibri" w:hAnsi="Calibri"/>
                <w:color w:val="000000"/>
                <w:szCs w:val="22"/>
              </w:rPr>
            </w:pPr>
            <w:r w:rsidRPr="004638BE">
              <w:rPr>
                <w:rFonts w:ascii="Calibri" w:hAnsi="Calibri"/>
                <w:color w:val="000000"/>
                <w:sz w:val="22"/>
                <w:szCs w:val="22"/>
              </w:rPr>
              <w:t>6.58</w:t>
            </w:r>
          </w:p>
        </w:tc>
        <w:tc>
          <w:tcPr>
            <w:tcW w:w="111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r>
      <w:tr w:rsidR="00D7645E" w:rsidRPr="004638BE" w:rsidTr="00FC5808">
        <w:trPr>
          <w:trHeight w:val="330"/>
          <w:jc w:val="center"/>
        </w:trPr>
        <w:tc>
          <w:tcPr>
            <w:tcW w:w="1885" w:type="dxa"/>
            <w:tcBorders>
              <w:top w:val="nil"/>
              <w:left w:val="nil"/>
              <w:bottom w:val="nil"/>
              <w:right w:val="nil"/>
            </w:tcBorders>
            <w:shd w:val="clear" w:color="auto" w:fill="auto"/>
            <w:vAlign w:val="center"/>
            <w:hideMark/>
          </w:tcPr>
          <w:p w:rsidR="00D7645E" w:rsidRPr="004638BE" w:rsidRDefault="00D7645E" w:rsidP="00FC5808">
            <w:pPr>
              <w:jc w:val="right"/>
              <w:rPr>
                <w:b/>
                <w:bCs/>
                <w:color w:val="000000"/>
                <w:szCs w:val="24"/>
              </w:rPr>
            </w:pPr>
            <w:r w:rsidRPr="004638BE">
              <w:rPr>
                <w:b/>
                <w:bCs/>
                <w:color w:val="000000"/>
                <w:szCs w:val="24"/>
              </w:rPr>
              <w:t>Lower Limit</w:t>
            </w:r>
            <w:r>
              <w:rPr>
                <w:b/>
                <w:bCs/>
                <w:color w:val="000000"/>
                <w:szCs w:val="24"/>
              </w:rPr>
              <w:t>=</w:t>
            </w:r>
          </w:p>
        </w:tc>
        <w:tc>
          <w:tcPr>
            <w:tcW w:w="1120" w:type="dxa"/>
            <w:tcBorders>
              <w:top w:val="nil"/>
              <w:left w:val="nil"/>
              <w:bottom w:val="nil"/>
              <w:right w:val="nil"/>
            </w:tcBorders>
            <w:shd w:val="clear" w:color="auto" w:fill="auto"/>
            <w:noWrap/>
            <w:vAlign w:val="bottom"/>
            <w:hideMark/>
          </w:tcPr>
          <w:p w:rsidR="00D7645E" w:rsidRPr="004638BE" w:rsidRDefault="00D7645E" w:rsidP="00FC5808">
            <w:pPr>
              <w:jc w:val="center"/>
              <w:rPr>
                <w:rFonts w:ascii="Calibri" w:hAnsi="Calibri"/>
                <w:color w:val="000000"/>
                <w:szCs w:val="22"/>
              </w:rPr>
            </w:pPr>
            <w:r w:rsidRPr="004638BE">
              <w:rPr>
                <w:rFonts w:ascii="Calibri" w:hAnsi="Calibri"/>
                <w:color w:val="000000"/>
                <w:sz w:val="22"/>
                <w:szCs w:val="22"/>
              </w:rPr>
              <w:t>0.00</w:t>
            </w:r>
          </w:p>
        </w:tc>
        <w:tc>
          <w:tcPr>
            <w:tcW w:w="1110" w:type="dxa"/>
            <w:tcBorders>
              <w:top w:val="nil"/>
              <w:left w:val="nil"/>
              <w:bottom w:val="nil"/>
              <w:right w:val="nil"/>
            </w:tcBorders>
            <w:shd w:val="clear" w:color="auto" w:fill="auto"/>
            <w:noWrap/>
            <w:vAlign w:val="bottom"/>
            <w:hideMark/>
          </w:tcPr>
          <w:p w:rsidR="00D7645E" w:rsidRPr="004638BE" w:rsidRDefault="00D7645E" w:rsidP="00FC5808">
            <w:pPr>
              <w:rPr>
                <w:rFonts w:ascii="Calibri" w:hAnsi="Calibri"/>
                <w:color w:val="000000"/>
                <w:szCs w:val="22"/>
              </w:rPr>
            </w:pPr>
          </w:p>
        </w:tc>
      </w:tr>
    </w:tbl>
    <w:p w:rsidR="00D7645E" w:rsidRDefault="00D7645E" w:rsidP="00D7645E">
      <w:pPr>
        <w:pStyle w:val="TextTimesRom11"/>
        <w:tabs>
          <w:tab w:val="left" w:pos="1701"/>
          <w:tab w:val="left" w:pos="4678"/>
        </w:tabs>
        <w:spacing w:after="120" w:line="276" w:lineRule="auto"/>
        <w:ind w:left="0" w:firstLine="720"/>
        <w:rPr>
          <w:sz w:val="24"/>
          <w:szCs w:val="24"/>
        </w:rPr>
      </w:pPr>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Many policymakers also prefer to see a visual display.  Typically one plots the data using the probability of the outcome before and after enrollment.  </w:t>
      </w:r>
      <w:r w:rsidRPr="00B6443F">
        <w:rPr>
          <w:sz w:val="24"/>
          <w:szCs w:val="24"/>
        </w:rPr>
        <w:t xml:space="preserve">  </w:t>
      </w:r>
      <w:r>
        <w:rPr>
          <w:sz w:val="24"/>
          <w:szCs w:val="24"/>
        </w:rPr>
        <w:t>Before enrollment in the program, f</w:t>
      </w:r>
      <w:r w:rsidRPr="00B6443F">
        <w:rPr>
          <w:sz w:val="24"/>
          <w:szCs w:val="24"/>
        </w:rPr>
        <w:t>or cases</w:t>
      </w:r>
      <w:r>
        <w:rPr>
          <w:sz w:val="24"/>
          <w:szCs w:val="24"/>
        </w:rPr>
        <w:t>,</w:t>
      </w:r>
      <w:r w:rsidRPr="00B6443F">
        <w:rPr>
          <w:sz w:val="24"/>
          <w:szCs w:val="24"/>
        </w:rPr>
        <w:t xml:space="preserve"> the rate </w:t>
      </w:r>
      <w:r>
        <w:rPr>
          <w:sz w:val="24"/>
          <w:szCs w:val="24"/>
        </w:rPr>
        <w:t>is</w:t>
      </w:r>
      <w:r w:rsidRPr="00B6443F">
        <w:rPr>
          <w:sz w:val="24"/>
          <w:szCs w:val="24"/>
        </w:rPr>
        <w:t xml:space="preserve"> 50% positive and for controls the rate is also 50% positive.  </w:t>
      </w:r>
      <w:r>
        <w:rPr>
          <w:sz w:val="24"/>
          <w:szCs w:val="24"/>
        </w:rPr>
        <w:t xml:space="preserve">This is the overlapping point in Figure </w:t>
      </w:r>
      <w:r w:rsidR="00701364">
        <w:rPr>
          <w:sz w:val="24"/>
          <w:szCs w:val="24"/>
        </w:rPr>
        <w:t>6</w:t>
      </w:r>
      <w:r>
        <w:rPr>
          <w:sz w:val="24"/>
          <w:szCs w:val="24"/>
        </w:rPr>
        <w:t xml:space="preserve"> and shows that before enrollment in the program cases and controls had the same rate of falls. In the follow-up period, the percent of patients with fall changes.  Both groups have a decline in rate of falls but the decline is more in the cases than controls.  </w:t>
      </w:r>
    </w:p>
    <w:p w:rsidR="00D7645E" w:rsidRPr="003D4E4B" w:rsidRDefault="00D7645E" w:rsidP="00D7645E">
      <w:pPr>
        <w:pStyle w:val="TextTimesRom11"/>
        <w:keepNext/>
        <w:tabs>
          <w:tab w:val="left" w:pos="1701"/>
          <w:tab w:val="left" w:pos="4678"/>
        </w:tabs>
        <w:ind w:left="0"/>
        <w:jc w:val="center"/>
        <w:rPr>
          <w:b/>
          <w:sz w:val="24"/>
          <w:szCs w:val="24"/>
        </w:rPr>
      </w:pPr>
      <w:r w:rsidRPr="003D4E4B">
        <w:rPr>
          <w:b/>
          <w:sz w:val="24"/>
          <w:szCs w:val="24"/>
        </w:rPr>
        <w:t xml:space="preserve">Figure </w:t>
      </w:r>
      <w:r w:rsidR="00701364">
        <w:rPr>
          <w:b/>
          <w:sz w:val="24"/>
          <w:szCs w:val="24"/>
        </w:rPr>
        <w:t>6</w:t>
      </w:r>
      <w:r w:rsidRPr="003D4E4B">
        <w:rPr>
          <w:b/>
          <w:sz w:val="24"/>
          <w:szCs w:val="24"/>
        </w:rPr>
        <w:t xml:space="preserve">:  Impact of Enrollment in Program on </w:t>
      </w:r>
      <w:r>
        <w:rPr>
          <w:b/>
          <w:sz w:val="24"/>
          <w:szCs w:val="24"/>
        </w:rPr>
        <w:t xml:space="preserve">Patient </w:t>
      </w:r>
      <w:r w:rsidRPr="003D4E4B">
        <w:rPr>
          <w:b/>
          <w:sz w:val="24"/>
          <w:szCs w:val="24"/>
        </w:rPr>
        <w:t>Falls</w:t>
      </w:r>
    </w:p>
    <w:p w:rsidR="00D7645E" w:rsidRDefault="00D7645E" w:rsidP="00D7645E">
      <w:pPr>
        <w:pStyle w:val="TextTimesRom11"/>
        <w:keepNext/>
        <w:tabs>
          <w:tab w:val="left" w:pos="1701"/>
          <w:tab w:val="left" w:pos="4678"/>
        </w:tabs>
        <w:ind w:left="0"/>
        <w:jc w:val="center"/>
        <w:rPr>
          <w:b/>
          <w:noProof/>
        </w:rPr>
      </w:pPr>
      <w:r>
        <w:rPr>
          <w:b/>
          <w:noProof/>
        </w:rPr>
        <w:drawing>
          <wp:inline distT="0" distB="0" distL="0" distR="0">
            <wp:extent cx="4178300" cy="2413000"/>
            <wp:effectExtent l="19050" t="0" r="12700" b="63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2A79" w:rsidRDefault="005B2A79" w:rsidP="00D7645E">
      <w:pPr>
        <w:pStyle w:val="TextTimesRom11"/>
        <w:keepNext/>
        <w:tabs>
          <w:tab w:val="left" w:pos="1701"/>
          <w:tab w:val="left" w:pos="4678"/>
        </w:tabs>
        <w:ind w:left="0"/>
        <w:jc w:val="center"/>
        <w:rPr>
          <w:b/>
          <w:noProof/>
        </w:rPr>
      </w:pPr>
    </w:p>
    <w:p w:rsidR="00490959" w:rsidRPr="00490959" w:rsidRDefault="005B2A79" w:rsidP="00490959">
      <w:pPr>
        <w:pStyle w:val="TextTimesRom11"/>
        <w:tabs>
          <w:tab w:val="left" w:pos="1701"/>
          <w:tab w:val="left" w:pos="4678"/>
        </w:tabs>
        <w:spacing w:after="120" w:line="276" w:lineRule="auto"/>
        <w:ind w:left="0" w:firstLine="720"/>
        <w:rPr>
          <w:color w:val="FF0000"/>
          <w:sz w:val="24"/>
          <w:szCs w:val="24"/>
        </w:rPr>
      </w:pPr>
      <w:r w:rsidRPr="005B2A79">
        <w:rPr>
          <w:noProof/>
        </w:rPr>
        <w:t xml:space="preserve">The problem with Figure </w:t>
      </w:r>
      <w:r w:rsidR="00701364">
        <w:rPr>
          <w:noProof/>
        </w:rPr>
        <w:t>6</w:t>
      </w:r>
      <w:r w:rsidRPr="005B2A79">
        <w:rPr>
          <w:noProof/>
        </w:rPr>
        <w:t xml:space="preserve"> is that it does not show the period of time that lapses before a fall occurs.  </w:t>
      </w:r>
      <w:r>
        <w:rPr>
          <w:noProof/>
        </w:rPr>
        <w:t xml:space="preserve">Since adverse outcomes eventually happen (we all die), it is important to trace the time to the event.  </w:t>
      </w:r>
    </w:p>
    <w:p w:rsidR="00D7645E" w:rsidRPr="00937B56" w:rsidRDefault="00D7645E" w:rsidP="00D7645E"/>
    <w:p w:rsidR="00D7645E" w:rsidRDefault="00D7645E" w:rsidP="00D7645E">
      <w:pPr>
        <w:pStyle w:val="Heading2"/>
      </w:pPr>
      <w:bookmarkStart w:id="10" w:name="_Toc359659839"/>
      <w:r>
        <w:t xml:space="preserve">Analysis of </w:t>
      </w:r>
      <w:r w:rsidR="00BD5FF1">
        <w:t>Time to Event</w:t>
      </w:r>
      <w:bookmarkEnd w:id="10"/>
    </w:p>
    <w:p w:rsidR="00D7645E" w:rsidRDefault="00D7645E" w:rsidP="00D7645E">
      <w:pPr>
        <w:pStyle w:val="TextTimesRom11"/>
        <w:tabs>
          <w:tab w:val="left" w:pos="1701"/>
          <w:tab w:val="left" w:pos="4678"/>
        </w:tabs>
        <w:spacing w:after="120" w:line="276" w:lineRule="auto"/>
        <w:ind w:left="0" w:firstLine="720"/>
        <w:rPr>
          <w:sz w:val="24"/>
          <w:szCs w:val="24"/>
        </w:rPr>
      </w:pPr>
      <w:r>
        <w:rPr>
          <w:sz w:val="24"/>
          <w:szCs w:val="24"/>
        </w:rPr>
        <w:t xml:space="preserve">Sometime the outcome of interest is not a count of events (e.g. falls) but days </w:t>
      </w:r>
      <w:r w:rsidR="00BD5FF1">
        <w:rPr>
          <w:sz w:val="24"/>
          <w:szCs w:val="24"/>
        </w:rPr>
        <w:t xml:space="preserve">or in our case months </w:t>
      </w:r>
      <w:r>
        <w:rPr>
          <w:sz w:val="24"/>
          <w:szCs w:val="24"/>
        </w:rPr>
        <w:t>to the event.  The analysis of outcomes over time is done using Kaplan-Meier estimator [</w:t>
      </w:r>
      <w:r>
        <w:rPr>
          <w:rStyle w:val="EndnoteReference"/>
          <w:sz w:val="24"/>
          <w:szCs w:val="24"/>
        </w:rPr>
        <w:endnoteReference w:id="18"/>
      </w:r>
      <w:r>
        <w:rPr>
          <w:sz w:val="24"/>
          <w:szCs w:val="24"/>
        </w:rPr>
        <w:t xml:space="preserve">].  It is used to report the time until adverse outcomes occur.  An advantage of using this estimator is that it can accommodate changes in patients available to the study.  For example, if patients die before the outcome of interest is measured, they can be left out of the calculation for periods that they were not available.  For another example, if patients change their place of care, then they can be excluded from the analysis from the time when they changed provider.  At each time period one can recalculate the number of patients at risk and therefore patients who drop out of the study do not affect the calculations.     </w:t>
      </w:r>
    </w:p>
    <w:p w:rsidR="005B2A79" w:rsidRDefault="00BD5FF1" w:rsidP="00D7645E">
      <w:pPr>
        <w:pStyle w:val="TextTimesRom11"/>
        <w:tabs>
          <w:tab w:val="left" w:pos="1701"/>
          <w:tab w:val="left" w:pos="4678"/>
        </w:tabs>
        <w:spacing w:after="120" w:line="276" w:lineRule="auto"/>
        <w:ind w:left="0" w:firstLine="720"/>
        <w:rPr>
          <w:sz w:val="24"/>
          <w:szCs w:val="24"/>
        </w:rPr>
      </w:pPr>
      <w:r>
        <w:rPr>
          <w:sz w:val="24"/>
          <w:szCs w:val="24"/>
        </w:rPr>
        <w:t xml:space="preserve">At each time period, the number of patients at risk of falling (number of patients in study minus the patients that are censored) and the number of patients that do not fall (number at risk minus number that have fallen) is calculated.  This is the conditional probability of falling given that the patient has not fallen in previous time periods.  The probability of falling in a time period is calculated as the probability of falling in the previous time period times the conditional probability of not falling.  Table </w:t>
      </w:r>
      <w:r w:rsidR="00CE0D98">
        <w:rPr>
          <w:sz w:val="24"/>
          <w:szCs w:val="24"/>
        </w:rPr>
        <w:t>8</w:t>
      </w:r>
      <w:r>
        <w:rPr>
          <w:sz w:val="24"/>
          <w:szCs w:val="24"/>
        </w:rPr>
        <w:t xml:space="preserve"> shows the calculation of these probabilities for our data.  Among the 2 cases, there was one fall in the 3</w:t>
      </w:r>
      <w:r w:rsidRPr="00BD5FF1">
        <w:rPr>
          <w:sz w:val="24"/>
          <w:szCs w:val="24"/>
          <w:vertAlign w:val="superscript"/>
        </w:rPr>
        <w:t>rd</w:t>
      </w:r>
      <w:r>
        <w:rPr>
          <w:sz w:val="24"/>
          <w:szCs w:val="24"/>
        </w:rPr>
        <w:t xml:space="preserve"> month.   Among the 4 controls there was 1 fall in the 2</w:t>
      </w:r>
      <w:r w:rsidRPr="00BD5FF1">
        <w:rPr>
          <w:sz w:val="24"/>
          <w:szCs w:val="24"/>
          <w:vertAlign w:val="superscript"/>
        </w:rPr>
        <w:t>nd</w:t>
      </w:r>
      <w:r>
        <w:rPr>
          <w:sz w:val="24"/>
          <w:szCs w:val="24"/>
        </w:rPr>
        <w:t xml:space="preserve"> month.  There was one patient in the control group that died in the </w:t>
      </w:r>
      <w:r w:rsidR="005B2A79">
        <w:rPr>
          <w:sz w:val="24"/>
          <w:szCs w:val="24"/>
        </w:rPr>
        <w:t>1</w:t>
      </w:r>
      <w:r w:rsidR="005B2A79" w:rsidRPr="005B2A79">
        <w:rPr>
          <w:sz w:val="24"/>
          <w:szCs w:val="24"/>
          <w:vertAlign w:val="superscript"/>
        </w:rPr>
        <w:t>st</w:t>
      </w:r>
      <w:r w:rsidR="005B2A79">
        <w:rPr>
          <w:sz w:val="24"/>
          <w:szCs w:val="24"/>
        </w:rPr>
        <w:t xml:space="preserve"> </w:t>
      </w:r>
      <w:r>
        <w:rPr>
          <w:sz w:val="24"/>
          <w:szCs w:val="24"/>
        </w:rPr>
        <w:t xml:space="preserve">month and therefore was not available to the study for the following months.  </w:t>
      </w:r>
    </w:p>
    <w:p w:rsidR="005B2A79" w:rsidRPr="005B2A79" w:rsidRDefault="005B2A79" w:rsidP="005B2A79">
      <w:pPr>
        <w:pStyle w:val="TextTimesRom11"/>
        <w:keepNext/>
        <w:tabs>
          <w:tab w:val="left" w:pos="1701"/>
          <w:tab w:val="left" w:pos="4678"/>
        </w:tabs>
        <w:ind w:left="0"/>
        <w:jc w:val="center"/>
        <w:rPr>
          <w:b/>
          <w:sz w:val="24"/>
          <w:szCs w:val="24"/>
        </w:rPr>
      </w:pPr>
      <w:r w:rsidRPr="005B2A79">
        <w:rPr>
          <w:b/>
          <w:sz w:val="24"/>
          <w:szCs w:val="24"/>
        </w:rPr>
        <w:t xml:space="preserve">Table </w:t>
      </w:r>
      <w:r w:rsidR="00CE0D98">
        <w:rPr>
          <w:b/>
          <w:sz w:val="24"/>
          <w:szCs w:val="24"/>
        </w:rPr>
        <w:t>8</w:t>
      </w:r>
      <w:r w:rsidRPr="005B2A79">
        <w:rPr>
          <w:b/>
          <w:sz w:val="24"/>
          <w:szCs w:val="24"/>
        </w:rPr>
        <w:t>:  Probability of Falling at Different Time Periods</w:t>
      </w:r>
    </w:p>
    <w:tbl>
      <w:tblPr>
        <w:tblW w:w="7149" w:type="dxa"/>
        <w:jc w:val="center"/>
        <w:tblInd w:w="93" w:type="dxa"/>
        <w:tblLook w:val="04A0"/>
      </w:tblPr>
      <w:tblGrid>
        <w:gridCol w:w="984"/>
        <w:gridCol w:w="960"/>
        <w:gridCol w:w="965"/>
        <w:gridCol w:w="1050"/>
        <w:gridCol w:w="965"/>
        <w:gridCol w:w="965"/>
        <w:gridCol w:w="1260"/>
      </w:tblGrid>
      <w:tr w:rsidR="005B2A79" w:rsidRPr="005B2A79" w:rsidTr="00CE0D98">
        <w:trPr>
          <w:trHeight w:val="615"/>
          <w:jc w:val="center"/>
        </w:trPr>
        <w:tc>
          <w:tcPr>
            <w:tcW w:w="984" w:type="dxa"/>
            <w:tcBorders>
              <w:top w:val="nil"/>
              <w:left w:val="nil"/>
              <w:bottom w:val="nil"/>
              <w:right w:val="nil"/>
            </w:tcBorders>
            <w:shd w:val="clear" w:color="auto" w:fill="auto"/>
            <w:noWrap/>
            <w:vAlign w:val="bottom"/>
            <w:hideMark/>
          </w:tcPr>
          <w:p w:rsidR="005B2A79" w:rsidRPr="005B2A79" w:rsidRDefault="005B2A79" w:rsidP="005B2A79">
            <w:pPr>
              <w:keepNext/>
              <w:rPr>
                <w:rFonts w:ascii="Calibri" w:hAnsi="Calibri"/>
                <w:color w:val="000000"/>
                <w:szCs w:val="22"/>
              </w:rPr>
            </w:pPr>
          </w:p>
        </w:tc>
        <w:tc>
          <w:tcPr>
            <w:tcW w:w="960"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sidRPr="005B2A79">
              <w:rPr>
                <w:rFonts w:ascii="Calibri" w:hAnsi="Calibri"/>
                <w:b/>
                <w:bCs/>
                <w:color w:val="000000"/>
                <w:sz w:val="22"/>
                <w:szCs w:val="22"/>
              </w:rPr>
              <w:t>Period</w:t>
            </w:r>
          </w:p>
        </w:tc>
        <w:tc>
          <w:tcPr>
            <w:tcW w:w="965"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sidRPr="005B2A79">
              <w:rPr>
                <w:rFonts w:ascii="Calibri" w:hAnsi="Calibri"/>
                <w:b/>
                <w:bCs/>
                <w:color w:val="000000"/>
                <w:sz w:val="22"/>
                <w:szCs w:val="22"/>
              </w:rPr>
              <w:t>Number at risk</w:t>
            </w:r>
          </w:p>
        </w:tc>
        <w:tc>
          <w:tcPr>
            <w:tcW w:w="1050"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sidRPr="005B2A79">
              <w:rPr>
                <w:rFonts w:ascii="Calibri" w:hAnsi="Calibri"/>
                <w:b/>
                <w:bCs/>
                <w:color w:val="000000"/>
                <w:sz w:val="22"/>
                <w:szCs w:val="22"/>
              </w:rPr>
              <w:t>Number censored</w:t>
            </w:r>
          </w:p>
        </w:tc>
        <w:tc>
          <w:tcPr>
            <w:tcW w:w="965"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sidRPr="005B2A79">
              <w:rPr>
                <w:rFonts w:ascii="Calibri" w:hAnsi="Calibri"/>
                <w:b/>
                <w:bCs/>
                <w:color w:val="000000"/>
                <w:sz w:val="22"/>
                <w:szCs w:val="22"/>
              </w:rPr>
              <w:t xml:space="preserve">Number </w:t>
            </w:r>
            <w:r>
              <w:rPr>
                <w:rFonts w:ascii="Calibri" w:hAnsi="Calibri"/>
                <w:b/>
                <w:bCs/>
                <w:color w:val="000000"/>
                <w:sz w:val="22"/>
                <w:szCs w:val="22"/>
              </w:rPr>
              <w:t>Fell</w:t>
            </w:r>
          </w:p>
        </w:tc>
        <w:tc>
          <w:tcPr>
            <w:tcW w:w="965"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sidRPr="005B2A79">
              <w:rPr>
                <w:rFonts w:ascii="Calibri" w:hAnsi="Calibri"/>
                <w:b/>
                <w:bCs/>
                <w:color w:val="000000"/>
                <w:sz w:val="22"/>
                <w:szCs w:val="22"/>
              </w:rPr>
              <w:t xml:space="preserve">Number </w:t>
            </w:r>
            <w:r>
              <w:rPr>
                <w:rFonts w:ascii="Calibri" w:hAnsi="Calibri"/>
                <w:b/>
                <w:bCs/>
                <w:color w:val="000000"/>
                <w:sz w:val="22"/>
                <w:szCs w:val="22"/>
              </w:rPr>
              <w:t>No Fall</w:t>
            </w:r>
          </w:p>
        </w:tc>
        <w:tc>
          <w:tcPr>
            <w:tcW w:w="1260" w:type="dxa"/>
            <w:tcBorders>
              <w:top w:val="nil"/>
              <w:left w:val="nil"/>
              <w:bottom w:val="nil"/>
              <w:right w:val="nil"/>
            </w:tcBorders>
            <w:shd w:val="clear" w:color="auto" w:fill="auto"/>
            <w:vAlign w:val="bottom"/>
            <w:hideMark/>
          </w:tcPr>
          <w:p w:rsidR="005B2A79" w:rsidRPr="005B2A79" w:rsidRDefault="005B2A79" w:rsidP="005B2A79">
            <w:pPr>
              <w:keepNext/>
              <w:jc w:val="center"/>
              <w:rPr>
                <w:rFonts w:ascii="Calibri" w:hAnsi="Calibri"/>
                <w:b/>
                <w:bCs/>
                <w:color w:val="000000"/>
                <w:szCs w:val="22"/>
              </w:rPr>
            </w:pPr>
            <w:r>
              <w:rPr>
                <w:rFonts w:ascii="Calibri" w:hAnsi="Calibri"/>
                <w:b/>
                <w:bCs/>
                <w:color w:val="000000"/>
                <w:sz w:val="22"/>
                <w:szCs w:val="22"/>
              </w:rPr>
              <w:t>No Fall</w:t>
            </w:r>
            <w:r w:rsidRPr="005B2A79">
              <w:rPr>
                <w:rFonts w:ascii="Calibri" w:hAnsi="Calibri"/>
                <w:b/>
                <w:bCs/>
                <w:color w:val="000000"/>
                <w:sz w:val="22"/>
                <w:szCs w:val="22"/>
              </w:rPr>
              <w:t xml:space="preserve"> Probability</w:t>
            </w:r>
          </w:p>
        </w:tc>
      </w:tr>
      <w:tr w:rsidR="00CE0D98" w:rsidRPr="005B2A79" w:rsidTr="00CE0D98">
        <w:trPr>
          <w:trHeight w:val="315"/>
          <w:jc w:val="center"/>
        </w:trPr>
        <w:tc>
          <w:tcPr>
            <w:tcW w:w="984" w:type="dxa"/>
            <w:vMerge w:val="restart"/>
            <w:tcBorders>
              <w:top w:val="nil"/>
              <w:left w:val="nil"/>
              <w:right w:val="nil"/>
            </w:tcBorders>
            <w:shd w:val="clear" w:color="auto" w:fill="auto"/>
            <w:noWrap/>
            <w:vAlign w:val="center"/>
            <w:hideMark/>
          </w:tcPr>
          <w:p w:rsidR="00CE0D98" w:rsidRPr="005B2A79" w:rsidRDefault="00CE0D98" w:rsidP="00CE0D98">
            <w:pPr>
              <w:keepNext/>
              <w:jc w:val="center"/>
              <w:rPr>
                <w:rFonts w:ascii="Calibri" w:hAnsi="Calibri"/>
                <w:b/>
                <w:bCs/>
                <w:color w:val="000000"/>
                <w:szCs w:val="22"/>
              </w:rPr>
            </w:pPr>
            <w:r w:rsidRPr="005B2A79">
              <w:rPr>
                <w:rFonts w:ascii="Calibri" w:hAnsi="Calibri"/>
                <w:b/>
                <w:bCs/>
                <w:color w:val="000000"/>
                <w:sz w:val="22"/>
                <w:szCs w:val="22"/>
              </w:rPr>
              <w:t>Cases</w:t>
            </w: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1</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2</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2</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keepNext/>
              <w:jc w:val="center"/>
              <w:rPr>
                <w:rFonts w:ascii="Calibri" w:hAnsi="Calibri"/>
                <w:color w:val="000000"/>
                <w:szCs w:val="22"/>
              </w:rPr>
            </w:pPr>
            <w:r w:rsidRPr="005B2A79">
              <w:rPr>
                <w:rFonts w:ascii="Calibri" w:hAnsi="Calibri"/>
                <w:color w:val="000000"/>
                <w:sz w:val="22"/>
                <w:szCs w:val="22"/>
              </w:rPr>
              <w:t>1</w:t>
            </w:r>
          </w:p>
        </w:tc>
      </w:tr>
      <w:tr w:rsidR="00CE0D98" w:rsidRPr="005B2A79" w:rsidTr="00CE0D98">
        <w:trPr>
          <w:trHeight w:val="315"/>
          <w:jc w:val="center"/>
        </w:trPr>
        <w:tc>
          <w:tcPr>
            <w:tcW w:w="984" w:type="dxa"/>
            <w:vMerge/>
            <w:tcBorders>
              <w:left w:val="nil"/>
              <w:right w:val="nil"/>
            </w:tcBorders>
            <w:shd w:val="clear" w:color="auto" w:fill="auto"/>
            <w:noWrap/>
            <w:vAlign w:val="bottom"/>
            <w:hideMark/>
          </w:tcPr>
          <w:p w:rsidR="00CE0D98" w:rsidRPr="005B2A79" w:rsidRDefault="00CE0D98" w:rsidP="005B2A79">
            <w:pPr>
              <w:rPr>
                <w:rFonts w:ascii="Calibri" w:hAnsi="Calibri"/>
                <w:color w:val="000000"/>
                <w:szCs w:val="22"/>
              </w:rPr>
            </w:pP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r>
      <w:tr w:rsidR="00CE0D98" w:rsidRPr="005B2A79" w:rsidTr="00CE0D98">
        <w:trPr>
          <w:trHeight w:val="315"/>
          <w:jc w:val="center"/>
        </w:trPr>
        <w:tc>
          <w:tcPr>
            <w:tcW w:w="984" w:type="dxa"/>
            <w:vMerge/>
            <w:tcBorders>
              <w:left w:val="nil"/>
              <w:bottom w:val="nil"/>
              <w:right w:val="nil"/>
            </w:tcBorders>
            <w:shd w:val="clear" w:color="auto" w:fill="auto"/>
            <w:noWrap/>
            <w:vAlign w:val="bottom"/>
            <w:hideMark/>
          </w:tcPr>
          <w:p w:rsidR="00CE0D98" w:rsidRPr="005B2A79" w:rsidRDefault="00CE0D98" w:rsidP="005B2A79">
            <w:pPr>
              <w:rPr>
                <w:rFonts w:ascii="Calibri" w:hAnsi="Calibri"/>
                <w:color w:val="000000"/>
                <w:szCs w:val="22"/>
              </w:rPr>
            </w:pP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3</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0.5</w:t>
            </w:r>
          </w:p>
        </w:tc>
      </w:tr>
      <w:tr w:rsidR="00CE0D98" w:rsidRPr="005B2A79" w:rsidTr="00CE0D98">
        <w:trPr>
          <w:trHeight w:val="315"/>
          <w:jc w:val="center"/>
        </w:trPr>
        <w:tc>
          <w:tcPr>
            <w:tcW w:w="984" w:type="dxa"/>
            <w:vMerge w:val="restart"/>
            <w:tcBorders>
              <w:top w:val="nil"/>
              <w:left w:val="nil"/>
              <w:right w:val="nil"/>
            </w:tcBorders>
            <w:shd w:val="clear" w:color="auto" w:fill="auto"/>
            <w:noWrap/>
            <w:vAlign w:val="center"/>
            <w:hideMark/>
          </w:tcPr>
          <w:p w:rsidR="00CE0D98" w:rsidRPr="005B2A79" w:rsidRDefault="00CE0D98" w:rsidP="00CE0D98">
            <w:pPr>
              <w:jc w:val="center"/>
              <w:rPr>
                <w:rFonts w:ascii="Calibri" w:hAnsi="Calibri"/>
                <w:b/>
                <w:bCs/>
                <w:color w:val="000000"/>
                <w:szCs w:val="22"/>
              </w:rPr>
            </w:pPr>
            <w:r w:rsidRPr="005B2A79">
              <w:rPr>
                <w:rFonts w:ascii="Calibri" w:hAnsi="Calibri"/>
                <w:b/>
                <w:bCs/>
                <w:color w:val="000000"/>
                <w:sz w:val="22"/>
                <w:szCs w:val="22"/>
              </w:rPr>
              <w:t>Controls</w:t>
            </w: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4</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4</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r>
      <w:tr w:rsidR="00CE0D98" w:rsidRPr="005B2A79" w:rsidTr="00CE0D98">
        <w:trPr>
          <w:trHeight w:val="315"/>
          <w:jc w:val="center"/>
        </w:trPr>
        <w:tc>
          <w:tcPr>
            <w:tcW w:w="984" w:type="dxa"/>
            <w:vMerge/>
            <w:tcBorders>
              <w:left w:val="nil"/>
              <w:right w:val="nil"/>
            </w:tcBorders>
            <w:shd w:val="clear" w:color="auto" w:fill="auto"/>
            <w:noWrap/>
            <w:vAlign w:val="bottom"/>
            <w:hideMark/>
          </w:tcPr>
          <w:p w:rsidR="00CE0D98" w:rsidRPr="005B2A79" w:rsidRDefault="00CE0D98" w:rsidP="005B2A79">
            <w:pPr>
              <w:rPr>
                <w:rFonts w:ascii="Calibri" w:hAnsi="Calibri"/>
                <w:color w:val="000000"/>
                <w:szCs w:val="22"/>
              </w:rPr>
            </w:pP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3</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1</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0.67</w:t>
            </w:r>
          </w:p>
        </w:tc>
      </w:tr>
      <w:tr w:rsidR="00CE0D98" w:rsidRPr="005B2A79" w:rsidTr="00CE0D98">
        <w:trPr>
          <w:trHeight w:val="315"/>
          <w:jc w:val="center"/>
        </w:trPr>
        <w:tc>
          <w:tcPr>
            <w:tcW w:w="984" w:type="dxa"/>
            <w:vMerge/>
            <w:tcBorders>
              <w:left w:val="nil"/>
              <w:bottom w:val="nil"/>
              <w:right w:val="nil"/>
            </w:tcBorders>
            <w:shd w:val="clear" w:color="auto" w:fill="auto"/>
            <w:noWrap/>
            <w:vAlign w:val="bottom"/>
            <w:hideMark/>
          </w:tcPr>
          <w:p w:rsidR="00CE0D98" w:rsidRPr="005B2A79" w:rsidRDefault="00CE0D98" w:rsidP="005B2A79">
            <w:pPr>
              <w:rPr>
                <w:rFonts w:ascii="Calibri" w:hAnsi="Calibri"/>
                <w:color w:val="000000"/>
                <w:szCs w:val="22"/>
              </w:rPr>
            </w:pPr>
          </w:p>
        </w:tc>
        <w:tc>
          <w:tcPr>
            <w:tcW w:w="9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3</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05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w:t>
            </w:r>
          </w:p>
        </w:tc>
        <w:tc>
          <w:tcPr>
            <w:tcW w:w="965"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2</w:t>
            </w:r>
          </w:p>
        </w:tc>
        <w:tc>
          <w:tcPr>
            <w:tcW w:w="1260" w:type="dxa"/>
            <w:tcBorders>
              <w:top w:val="nil"/>
              <w:left w:val="nil"/>
              <w:bottom w:val="nil"/>
              <w:right w:val="nil"/>
            </w:tcBorders>
            <w:shd w:val="clear" w:color="auto" w:fill="FFFFFF" w:themeFill="background1"/>
            <w:noWrap/>
            <w:vAlign w:val="bottom"/>
            <w:hideMark/>
          </w:tcPr>
          <w:p w:rsidR="00CE0D98" w:rsidRPr="005B2A79" w:rsidRDefault="00CE0D98" w:rsidP="005B2A79">
            <w:pPr>
              <w:jc w:val="center"/>
              <w:rPr>
                <w:rFonts w:ascii="Calibri" w:hAnsi="Calibri"/>
                <w:color w:val="000000"/>
                <w:szCs w:val="22"/>
              </w:rPr>
            </w:pPr>
            <w:r w:rsidRPr="005B2A79">
              <w:rPr>
                <w:rFonts w:ascii="Calibri" w:hAnsi="Calibri"/>
                <w:color w:val="000000"/>
                <w:sz w:val="22"/>
                <w:szCs w:val="22"/>
              </w:rPr>
              <w:t>0.67</w:t>
            </w:r>
          </w:p>
        </w:tc>
      </w:tr>
    </w:tbl>
    <w:p w:rsidR="005B2A79" w:rsidRDefault="005B2A79" w:rsidP="005B2A79">
      <w:pPr>
        <w:pStyle w:val="TextTimesRom11"/>
        <w:tabs>
          <w:tab w:val="left" w:pos="1701"/>
          <w:tab w:val="left" w:pos="4678"/>
        </w:tabs>
        <w:spacing w:after="120" w:line="276" w:lineRule="auto"/>
        <w:ind w:left="0"/>
        <w:rPr>
          <w:sz w:val="24"/>
          <w:szCs w:val="24"/>
        </w:rPr>
      </w:pPr>
    </w:p>
    <w:p w:rsidR="005B2A79" w:rsidRDefault="005B2A79" w:rsidP="005B2A79">
      <w:pPr>
        <w:pStyle w:val="TextTimesRom11"/>
        <w:tabs>
          <w:tab w:val="left" w:pos="1701"/>
          <w:tab w:val="left" w:pos="4678"/>
        </w:tabs>
        <w:spacing w:after="120" w:line="276" w:lineRule="auto"/>
        <w:ind w:left="0"/>
        <w:rPr>
          <w:sz w:val="24"/>
          <w:szCs w:val="24"/>
        </w:rPr>
      </w:pPr>
      <w:r>
        <w:rPr>
          <w:sz w:val="24"/>
          <w:szCs w:val="24"/>
        </w:rPr>
        <w:t xml:space="preserve">Figure </w:t>
      </w:r>
      <w:r w:rsidR="00701364">
        <w:rPr>
          <w:sz w:val="24"/>
          <w:szCs w:val="24"/>
        </w:rPr>
        <w:t>7</w:t>
      </w:r>
      <w:r>
        <w:rPr>
          <w:sz w:val="24"/>
          <w:szCs w:val="24"/>
        </w:rPr>
        <w:t xml:space="preserve"> shows the resulting percent of patients having no falls at different time intervals.  Cases had a fall sooner than the controls.  The statistical significance of differences in rates of falls over time can be established by using the variance for Kaplan Meier statistic [</w:t>
      </w:r>
      <w:r>
        <w:rPr>
          <w:rStyle w:val="EndnoteReference"/>
          <w:sz w:val="24"/>
          <w:szCs w:val="24"/>
        </w:rPr>
        <w:endnoteReference w:id="19"/>
      </w:r>
      <w:r>
        <w:rPr>
          <w:sz w:val="24"/>
          <w:szCs w:val="24"/>
        </w:rPr>
        <w:t xml:space="preserve">].    </w:t>
      </w:r>
    </w:p>
    <w:p w:rsidR="005B2A79" w:rsidRPr="005B2A79" w:rsidRDefault="005B2A79" w:rsidP="005B2A79">
      <w:pPr>
        <w:pStyle w:val="TextTimesRom11"/>
        <w:keepNext/>
        <w:tabs>
          <w:tab w:val="left" w:pos="1701"/>
          <w:tab w:val="left" w:pos="4678"/>
        </w:tabs>
        <w:ind w:left="0"/>
        <w:jc w:val="center"/>
        <w:rPr>
          <w:b/>
          <w:sz w:val="24"/>
          <w:szCs w:val="24"/>
        </w:rPr>
      </w:pPr>
      <w:r w:rsidRPr="005B2A79">
        <w:rPr>
          <w:b/>
          <w:sz w:val="24"/>
          <w:szCs w:val="24"/>
        </w:rPr>
        <w:t xml:space="preserve">Figure </w:t>
      </w:r>
      <w:r w:rsidR="00701364">
        <w:rPr>
          <w:b/>
          <w:sz w:val="24"/>
          <w:szCs w:val="24"/>
        </w:rPr>
        <w:t>7</w:t>
      </w:r>
      <w:r w:rsidRPr="005B2A79">
        <w:rPr>
          <w:b/>
          <w:sz w:val="24"/>
          <w:szCs w:val="24"/>
        </w:rPr>
        <w:t xml:space="preserve">:  </w:t>
      </w:r>
      <w:r>
        <w:rPr>
          <w:b/>
          <w:sz w:val="24"/>
          <w:szCs w:val="24"/>
        </w:rPr>
        <w:t xml:space="preserve">Impact of Enrollment on Months to </w:t>
      </w:r>
      <w:proofErr w:type="gramStart"/>
      <w:r w:rsidRPr="005B2A79">
        <w:rPr>
          <w:b/>
          <w:sz w:val="24"/>
          <w:szCs w:val="24"/>
        </w:rPr>
        <w:t>Falls</w:t>
      </w:r>
      <w:proofErr w:type="gramEnd"/>
    </w:p>
    <w:p w:rsidR="00BD5FF1" w:rsidRDefault="005B2A79" w:rsidP="005B2A79">
      <w:pPr>
        <w:pStyle w:val="TextTimesRom11"/>
        <w:tabs>
          <w:tab w:val="left" w:pos="1701"/>
          <w:tab w:val="left" w:pos="4678"/>
        </w:tabs>
        <w:spacing w:after="120" w:line="276" w:lineRule="auto"/>
        <w:ind w:left="0"/>
        <w:jc w:val="center"/>
        <w:rPr>
          <w:sz w:val="24"/>
          <w:szCs w:val="24"/>
        </w:rPr>
      </w:pPr>
      <w:r>
        <w:rPr>
          <w:noProof/>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645E" w:rsidRDefault="00D7645E" w:rsidP="00D7645E">
      <w:pPr>
        <w:pStyle w:val="Heading2"/>
      </w:pPr>
      <w:bookmarkStart w:id="11" w:name="_Toc359659840"/>
      <w:r>
        <w:t>Measurement of Severity</w:t>
      </w:r>
      <w:bookmarkEnd w:id="11"/>
    </w:p>
    <w:p w:rsidR="00D7645E" w:rsidRDefault="00D7645E" w:rsidP="00D7645E">
      <w:pPr>
        <w:pStyle w:val="ListParagraph"/>
        <w:ind w:left="0" w:firstLine="720"/>
        <w:rPr>
          <w:rFonts w:ascii="Times New Roman" w:hAnsi="Times New Roman"/>
          <w:szCs w:val="24"/>
        </w:rPr>
      </w:pPr>
      <w:r>
        <w:rPr>
          <w:rFonts w:ascii="Times New Roman" w:hAnsi="Times New Roman"/>
          <w:szCs w:val="24"/>
        </w:rPr>
        <w:t>In comparative effectiveness analysis it is important to statistically control for differences among severity of illness of cases and controls.  Without adequate control for severity of illness, one may mistakenly attribute differences in cases and controls during the follow up period to the intervention as opposed to initial differences in severity of illness.  The matched case control tries to control for possible differences in the two groups prior to the intervention.  It is reasonable to include severity as one of the variables in which cases and controls are matched on.  Using the history of patient outcomes is another way of also measuring severity as these two variables are often related.  No matter what is used for matching, it is important to verify that the cases and controls did not differ at start in their severity of illness.</w:t>
      </w:r>
    </w:p>
    <w:p w:rsidR="00D7645E" w:rsidRDefault="00D7645E" w:rsidP="00D7645E">
      <w:pPr>
        <w:pStyle w:val="ListParagraph"/>
        <w:ind w:left="0" w:firstLine="720"/>
        <w:rPr>
          <w:rFonts w:ascii="Times New Roman" w:hAnsi="Times New Roman"/>
          <w:szCs w:val="24"/>
        </w:rPr>
      </w:pPr>
      <w:r>
        <w:rPr>
          <w:rFonts w:ascii="Times New Roman" w:hAnsi="Times New Roman"/>
          <w:szCs w:val="24"/>
        </w:rPr>
        <w:t xml:space="preserve">There are many approaches to measuring severity of illness from patient information available in medical records.  One approach uses patients laboratory findings and another approach uses patients diagnoses as coded into International Classification of Diseases </w:t>
      </w:r>
      <w:r w:rsidRPr="007D5DBC">
        <w:rPr>
          <w:rFonts w:ascii="Times New Roman" w:hAnsi="Times New Roman"/>
          <w:szCs w:val="24"/>
        </w:rPr>
        <w:t>[</w:t>
      </w:r>
      <w:r w:rsidRPr="007D5DBC">
        <w:rPr>
          <w:rStyle w:val="EndnoteReference"/>
          <w:rFonts w:ascii="Times New Roman" w:hAnsi="Times New Roman"/>
          <w:szCs w:val="24"/>
          <w:vertAlign w:val="baseline"/>
        </w:rPr>
        <w:endnoteReference w:id="20"/>
      </w:r>
      <w:r>
        <w:rPr>
          <w:rFonts w:ascii="Times New Roman" w:hAnsi="Times New Roman"/>
          <w:szCs w:val="24"/>
        </w:rPr>
        <w:t>,</w:t>
      </w:r>
      <w:r w:rsidRPr="007D5DBC">
        <w:rPr>
          <w:rStyle w:val="EndnoteReference"/>
          <w:rFonts w:ascii="Times New Roman" w:hAnsi="Times New Roman"/>
          <w:szCs w:val="24"/>
          <w:vertAlign w:val="baseline"/>
        </w:rPr>
        <w:endnoteReference w:id="21"/>
      </w:r>
      <w:r w:rsidRPr="007D5DBC">
        <w:rPr>
          <w:rFonts w:ascii="Times New Roman" w:hAnsi="Times New Roman"/>
          <w:szCs w:val="24"/>
        </w:rPr>
        <w:t xml:space="preserve">].  </w:t>
      </w:r>
      <w:r>
        <w:rPr>
          <w:rFonts w:ascii="Times New Roman" w:hAnsi="Times New Roman"/>
          <w:szCs w:val="24"/>
        </w:rPr>
        <w:t>Since data warehouses have a large number of cases, it is often possible to statistically derive the relationship between the patient features and outcomes from the data.  In these circumstances, the features and the statistical model can be used as a measure of severity of illness.</w:t>
      </w:r>
      <w:r w:rsidRPr="007D5DBC">
        <w:rPr>
          <w:rFonts w:ascii="Times New Roman" w:hAnsi="Times New Roman"/>
          <w:szCs w:val="24"/>
        </w:rPr>
        <w:t xml:space="preserve"> </w:t>
      </w:r>
    </w:p>
    <w:p w:rsidR="00D7645E" w:rsidRDefault="00D7645E" w:rsidP="00D7645E">
      <w:pPr>
        <w:pStyle w:val="Heading2"/>
      </w:pPr>
      <w:bookmarkStart w:id="12" w:name="_Toc359659841"/>
      <w:r>
        <w:t>Propensity Scoring</w:t>
      </w:r>
      <w:bookmarkEnd w:id="12"/>
    </w:p>
    <w:p w:rsidR="00D7645E" w:rsidRDefault="00D7645E" w:rsidP="00D7645E">
      <w:pPr>
        <w:spacing w:line="276" w:lineRule="auto"/>
      </w:pPr>
      <w:r>
        <w:t xml:space="preserve">We have shown how matched case control studies are organized.  An alternative to matching is to use all data but weight the control patients to match the proportion of the cases on specific variables.   Propensity scoring allows one to use all of the data while matching discards patients that do not match to cases.  </w:t>
      </w:r>
    </w:p>
    <w:p w:rsidR="00D7645E" w:rsidRPr="00455988" w:rsidRDefault="00D7645E" w:rsidP="00D7645E">
      <w:pPr>
        <w:pStyle w:val="Heading1"/>
      </w:pPr>
      <w:bookmarkStart w:id="13" w:name="_Toc359659842"/>
      <w:r>
        <w:t>Discussion</w:t>
      </w:r>
      <w:bookmarkEnd w:id="13"/>
    </w:p>
    <w:p w:rsidR="00D7645E" w:rsidRDefault="00D7645E" w:rsidP="00D7645E">
      <w:pPr>
        <w:spacing w:line="276" w:lineRule="auto"/>
        <w:ind w:firstLine="720"/>
      </w:pPr>
      <w:r>
        <w:t>This paper has described how matched case controls can be organized and applied to data within electronic health records.  These types of studies control for a number of possible ways in which observational studies may lead to erroneous conclusions.  Like a quasi-experimental study, the matched case control protects against variables that affect both cases and controls, and the effect of time and enrollment period.  There are a number of ways in which these approaches could lead to erroneous conclusions.  These include:</w:t>
      </w:r>
    </w:p>
    <w:p w:rsidR="00D7645E" w:rsidRDefault="00D7645E" w:rsidP="00D7645E">
      <w:pPr>
        <w:pStyle w:val="ListParagraph"/>
        <w:numPr>
          <w:ilvl w:val="0"/>
          <w:numId w:val="1"/>
        </w:numPr>
        <w:rPr>
          <w:rFonts w:ascii="Times New Roman" w:hAnsi="Times New Roman"/>
        </w:rPr>
      </w:pPr>
      <w:r>
        <w:rPr>
          <w:rFonts w:ascii="Times New Roman" w:hAnsi="Times New Roman"/>
        </w:rPr>
        <w:t>Poor selection of variables that cases and controls are matched on</w:t>
      </w:r>
    </w:p>
    <w:p w:rsidR="00D7645E" w:rsidRDefault="00D7645E" w:rsidP="00D7645E">
      <w:pPr>
        <w:pStyle w:val="ListParagraph"/>
        <w:numPr>
          <w:ilvl w:val="0"/>
          <w:numId w:val="1"/>
        </w:numPr>
        <w:rPr>
          <w:rFonts w:ascii="Times New Roman" w:hAnsi="Times New Roman"/>
        </w:rPr>
      </w:pPr>
      <w:r>
        <w:rPr>
          <w:rFonts w:ascii="Times New Roman" w:hAnsi="Times New Roman"/>
        </w:rPr>
        <w:t>Inadequate measurement of severity of illness of patients</w:t>
      </w:r>
    </w:p>
    <w:p w:rsidR="00D7645E" w:rsidRDefault="00D7645E" w:rsidP="00D7645E">
      <w:pPr>
        <w:pStyle w:val="ListParagraph"/>
        <w:numPr>
          <w:ilvl w:val="0"/>
          <w:numId w:val="1"/>
        </w:numPr>
        <w:rPr>
          <w:rFonts w:ascii="Times New Roman" w:hAnsi="Times New Roman"/>
        </w:rPr>
      </w:pPr>
      <w:r>
        <w:rPr>
          <w:rFonts w:ascii="Times New Roman" w:hAnsi="Times New Roman"/>
        </w:rPr>
        <w:t xml:space="preserve">Incomplete </w:t>
      </w:r>
      <w:r w:rsidRPr="002612A0">
        <w:rPr>
          <w:rFonts w:ascii="Times New Roman" w:hAnsi="Times New Roman"/>
        </w:rPr>
        <w:t>medical record</w:t>
      </w:r>
      <w:r>
        <w:rPr>
          <w:rFonts w:ascii="Times New Roman" w:hAnsi="Times New Roman"/>
        </w:rPr>
        <w:t>s, when patients visits outside the healthcare system is not reflected in the record</w:t>
      </w:r>
    </w:p>
    <w:p w:rsidR="00D7645E" w:rsidRDefault="00D7645E" w:rsidP="00D7645E">
      <w:pPr>
        <w:pStyle w:val="ListParagraph"/>
        <w:numPr>
          <w:ilvl w:val="0"/>
          <w:numId w:val="1"/>
        </w:numPr>
        <w:rPr>
          <w:rFonts w:ascii="Times New Roman" w:hAnsi="Times New Roman"/>
        </w:rPr>
      </w:pPr>
      <w:r w:rsidRPr="00455988">
        <w:rPr>
          <w:rFonts w:ascii="Times New Roman" w:hAnsi="Times New Roman"/>
        </w:rPr>
        <w:t xml:space="preserve">Inadequate measurement of </w:t>
      </w:r>
      <w:r>
        <w:rPr>
          <w:rFonts w:ascii="Times New Roman" w:hAnsi="Times New Roman"/>
        </w:rPr>
        <w:t>outcomes over time</w:t>
      </w:r>
      <w:r w:rsidRPr="00455988">
        <w:rPr>
          <w:rFonts w:ascii="Times New Roman" w:hAnsi="Times New Roman"/>
        </w:rPr>
        <w:t>.</w:t>
      </w:r>
    </w:p>
    <w:p w:rsidR="00185DE9" w:rsidRDefault="00185DE9" w:rsidP="00185DE9">
      <w:pPr>
        <w:pStyle w:val="Heading1"/>
      </w:pPr>
      <w:bookmarkStart w:id="14" w:name="_Toc359659843"/>
      <w:r>
        <w:t>Problem Sets</w:t>
      </w:r>
    </w:p>
    <w:p w:rsidR="00185DE9" w:rsidRDefault="00185DE9" w:rsidP="00185DE9">
      <w:pPr>
        <w:spacing w:line="276" w:lineRule="auto"/>
        <w:ind w:left="360" w:hanging="360"/>
      </w:pPr>
    </w:p>
    <w:p w:rsidR="00185DE9" w:rsidRDefault="00185DE9" w:rsidP="00185DE9">
      <w:pPr>
        <w:spacing w:after="200" w:line="276" w:lineRule="auto"/>
        <w:ind w:left="360" w:hanging="360"/>
      </w:pPr>
      <w:r>
        <w:t xml:space="preserve">1. </w:t>
      </w:r>
      <w:r>
        <w:tab/>
        <w:t>Matching Controls to Cases</w:t>
      </w:r>
    </w:p>
    <w:p w:rsidR="00185DE9" w:rsidRDefault="00185DE9" w:rsidP="00185DE9">
      <w:pPr>
        <w:ind w:left="360"/>
      </w:pPr>
      <w:r w:rsidRPr="00A5547E">
        <w:t xml:space="preserve">Hypertension is a pervasive medical condition in the U.S. that can often be managed through diet.   </w:t>
      </w:r>
      <w:r>
        <w:t>A study was performed</w:t>
      </w:r>
      <w:r w:rsidRPr="00A5547E">
        <w:t xml:space="preserve"> to examine the impact of diet in controlling hypertension</w:t>
      </w:r>
      <w:r>
        <w:t xml:space="preserve"> by reducing sodium intake.  A </w:t>
      </w:r>
      <w:r w:rsidRPr="00A5547E">
        <w:t>control group was given a diet rich in f</w:t>
      </w:r>
      <w:r>
        <w:t xml:space="preserve">ruits and vegetables, while a randomly selected </w:t>
      </w:r>
      <w:r w:rsidRPr="00A5547E">
        <w:t>study group was given a diet that also included low-fat dairy products.</w:t>
      </w:r>
      <w:r>
        <w:t xml:space="preserve">  Both groups initially </w:t>
      </w:r>
      <w:r w:rsidRPr="00763505">
        <w:t xml:space="preserve">participated in a 3-week period in which they consumed a </w:t>
      </w:r>
      <w:r w:rsidRPr="006D0555">
        <w:t>‘typical’ American diet.  During this period the baseline data for sodium intake were obtained</w:t>
      </w:r>
      <w:r w:rsidR="00CE0D98">
        <w:t xml:space="preserve"> (see Table 9)</w:t>
      </w:r>
      <w:r w:rsidRPr="006D0555">
        <w:t xml:space="preserve">.  </w:t>
      </w:r>
    </w:p>
    <w:p w:rsidR="00CE0D98" w:rsidRDefault="00CE0D98" w:rsidP="00185DE9">
      <w:pPr>
        <w:ind w:left="360"/>
      </w:pPr>
    </w:p>
    <w:p w:rsidR="00CE0D98" w:rsidRDefault="00CE0D98" w:rsidP="00CE0D98">
      <w:pPr>
        <w:jc w:val="center"/>
      </w:pPr>
      <w:r>
        <w:t>Table 9:  Hypertension and Salt Intake</w:t>
      </w:r>
    </w:p>
    <w:p w:rsidR="00CE0D98" w:rsidRPr="006D0555" w:rsidRDefault="00CE0D98" w:rsidP="00CE0D98">
      <w:pPr>
        <w:jc w:val="center"/>
      </w:pPr>
      <w:r w:rsidRPr="00CE0D98">
        <w:drawing>
          <wp:inline distT="0" distB="0" distL="0" distR="0">
            <wp:extent cx="3136900" cy="2476500"/>
            <wp:effectExtent l="19050" t="0" r="635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45"/>
                    <a:stretch>
                      <a:fillRect/>
                    </a:stretch>
                  </pic:blipFill>
                  <pic:spPr bwMode="auto">
                    <a:xfrm>
                      <a:off x="0" y="0"/>
                      <a:ext cx="3136900" cy="2476500"/>
                    </a:xfrm>
                    <a:prstGeom prst="rect">
                      <a:avLst/>
                    </a:prstGeom>
                    <a:noFill/>
                    <a:ln>
                      <a:noFill/>
                    </a:ln>
                  </pic:spPr>
                </pic:pic>
              </a:graphicData>
            </a:graphic>
          </wp:inline>
        </w:drawing>
      </w:r>
    </w:p>
    <w:p w:rsidR="00185DE9" w:rsidRPr="006D0555" w:rsidRDefault="00185DE9" w:rsidP="00185DE9">
      <w:pPr>
        <w:ind w:left="360"/>
      </w:pPr>
    </w:p>
    <w:p w:rsidR="000B5F91" w:rsidRDefault="000B5F91" w:rsidP="00185DE9">
      <w:pPr>
        <w:pStyle w:val="ListParagraph"/>
        <w:numPr>
          <w:ilvl w:val="1"/>
          <w:numId w:val="9"/>
        </w:numPr>
        <w:rPr>
          <w:rFonts w:ascii="Times New Roman" w:hAnsi="Times New Roman"/>
        </w:rPr>
      </w:pPr>
      <w:r>
        <w:rPr>
          <w:rFonts w:ascii="Times New Roman" w:hAnsi="Times New Roman"/>
        </w:rPr>
        <w:t xml:space="preserve">Participants 7, 8 and 12 were randomly selected to participate in the study group.  Create a data table from which to perform the matching analysis.  The table should include the Participant Number, Study or Control Group Flag, Sodium Level, and Random Number Assignment. </w:t>
      </w:r>
    </w:p>
    <w:p w:rsidR="000B5F91" w:rsidRDefault="000B5F91" w:rsidP="000B5F91">
      <w:pPr>
        <w:pStyle w:val="ListParagraph"/>
        <w:ind w:left="792"/>
        <w:rPr>
          <w:rFonts w:ascii="Times New Roman" w:hAnsi="Times New Roman"/>
        </w:rPr>
      </w:pPr>
      <w:r>
        <w:rPr>
          <w:rFonts w:ascii="Times New Roman" w:hAnsi="Times New Roman"/>
        </w:rPr>
        <w:t xml:space="preserve"> </w:t>
      </w:r>
    </w:p>
    <w:p w:rsidR="00185DE9" w:rsidRPr="006D0555" w:rsidRDefault="00185DE9" w:rsidP="00185DE9">
      <w:pPr>
        <w:pStyle w:val="ListParagraph"/>
        <w:numPr>
          <w:ilvl w:val="1"/>
          <w:numId w:val="9"/>
        </w:numPr>
        <w:rPr>
          <w:rFonts w:ascii="Times New Roman" w:hAnsi="Times New Roman"/>
        </w:rPr>
      </w:pPr>
      <w:r w:rsidRPr="006D0555">
        <w:rPr>
          <w:rFonts w:ascii="Times New Roman" w:hAnsi="Times New Roman"/>
        </w:rPr>
        <w:t>Matching on Daily Sodium Intake</w:t>
      </w:r>
      <w:r>
        <w:rPr>
          <w:rFonts w:ascii="Times New Roman" w:hAnsi="Times New Roman"/>
        </w:rPr>
        <w:t>,</w:t>
      </w:r>
      <w:r w:rsidRPr="006D0555">
        <w:rPr>
          <w:rFonts w:ascii="Times New Roman" w:hAnsi="Times New Roman"/>
        </w:rPr>
        <w:t xml:space="preserve"> which three participants would be the best controls for Participant 7?</w:t>
      </w:r>
    </w:p>
    <w:p w:rsidR="00185DE9" w:rsidRDefault="00185DE9" w:rsidP="00185DE9">
      <w:pPr>
        <w:pStyle w:val="ListParagraph"/>
        <w:rPr>
          <w:rFonts w:ascii="Times New Roman" w:hAnsi="Times New Roman"/>
        </w:rPr>
      </w:pPr>
    </w:p>
    <w:p w:rsidR="00185DE9" w:rsidRDefault="00185DE9" w:rsidP="00185DE9">
      <w:pPr>
        <w:pStyle w:val="ListParagraph"/>
        <w:numPr>
          <w:ilvl w:val="1"/>
          <w:numId w:val="9"/>
        </w:numPr>
        <w:rPr>
          <w:rFonts w:ascii="Times New Roman" w:hAnsi="Times New Roman"/>
        </w:rPr>
      </w:pPr>
      <w:r w:rsidRPr="006D0555">
        <w:rPr>
          <w:rFonts w:ascii="Times New Roman" w:hAnsi="Times New Roman"/>
        </w:rPr>
        <w:t>Which is the single best control for Participant 12?</w:t>
      </w:r>
    </w:p>
    <w:p w:rsidR="00185DE9" w:rsidRDefault="00185DE9" w:rsidP="00185DE9">
      <w:pPr>
        <w:pStyle w:val="ListParagraph"/>
        <w:ind w:left="360"/>
        <w:rPr>
          <w:rFonts w:ascii="Times New Roman" w:hAnsi="Times New Roman"/>
        </w:rPr>
      </w:pPr>
    </w:p>
    <w:p w:rsidR="00185DE9" w:rsidRPr="006D0555" w:rsidRDefault="00185DE9" w:rsidP="00185DE9">
      <w:pPr>
        <w:pStyle w:val="ListParagraph"/>
        <w:numPr>
          <w:ilvl w:val="0"/>
          <w:numId w:val="9"/>
        </w:numPr>
        <w:rPr>
          <w:rFonts w:ascii="Times New Roman" w:hAnsi="Times New Roman"/>
        </w:rPr>
      </w:pPr>
      <w:r w:rsidRPr="006D0555">
        <w:rPr>
          <w:rFonts w:ascii="Times New Roman" w:hAnsi="Times New Roman"/>
        </w:rPr>
        <w:t>Verification of Matching</w:t>
      </w:r>
    </w:p>
    <w:p w:rsidR="00185DE9" w:rsidRPr="006D0555" w:rsidRDefault="00185DE9" w:rsidP="00185DE9">
      <w:pPr>
        <w:spacing w:after="200" w:line="276" w:lineRule="auto"/>
        <w:ind w:left="360"/>
      </w:pPr>
      <w:r w:rsidRPr="00763505">
        <w:t xml:space="preserve">For the </w:t>
      </w:r>
      <w:r w:rsidRPr="006D0555">
        <w:t xml:space="preserve">cases and controls selected in Problem 1.1, verify that the matching </w:t>
      </w:r>
      <w:r w:rsidR="00B0539D">
        <w:t>was</w:t>
      </w:r>
      <w:r w:rsidRPr="006D0555">
        <w:t xml:space="preserve"> successful. </w:t>
      </w:r>
    </w:p>
    <w:p w:rsidR="00185DE9" w:rsidRDefault="00185DE9" w:rsidP="00185DE9">
      <w:pPr>
        <w:pStyle w:val="ListParagraph"/>
        <w:numPr>
          <w:ilvl w:val="1"/>
          <w:numId w:val="9"/>
        </w:numPr>
        <w:rPr>
          <w:rFonts w:ascii="Times New Roman" w:hAnsi="Times New Roman"/>
        </w:rPr>
      </w:pPr>
      <w:r>
        <w:rPr>
          <w:rFonts w:ascii="Times New Roman" w:hAnsi="Times New Roman"/>
        </w:rPr>
        <w:t>State the hypothesis to be tested.</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9"/>
        </w:numPr>
        <w:spacing w:after="0"/>
        <w:rPr>
          <w:rFonts w:ascii="Times New Roman" w:hAnsi="Times New Roman"/>
        </w:rPr>
      </w:pPr>
      <w:r>
        <w:rPr>
          <w:rFonts w:ascii="Times New Roman" w:hAnsi="Times New Roman"/>
        </w:rPr>
        <w:t>Calculate the mean and standard deviation for the differences of sodium intake between the case and control participants.</w:t>
      </w:r>
    </w:p>
    <w:p w:rsidR="00185DE9" w:rsidRPr="006D0555" w:rsidRDefault="00185DE9" w:rsidP="00185DE9"/>
    <w:p w:rsidR="00185DE9" w:rsidRDefault="00185DE9" w:rsidP="00185DE9">
      <w:pPr>
        <w:pStyle w:val="ListParagraph"/>
        <w:numPr>
          <w:ilvl w:val="1"/>
          <w:numId w:val="9"/>
        </w:numPr>
        <w:rPr>
          <w:rFonts w:ascii="Times New Roman" w:hAnsi="Times New Roman"/>
        </w:rPr>
      </w:pPr>
      <w:r>
        <w:rPr>
          <w:rFonts w:ascii="Times New Roman" w:hAnsi="Times New Roman"/>
        </w:rPr>
        <w:t>Calculate and interpret the t-statistic.  Is there a statistical difference in sodium intake between participants in the case and control groups?</w:t>
      </w:r>
    </w:p>
    <w:p w:rsidR="00185DE9" w:rsidRPr="006D0555" w:rsidRDefault="00185DE9" w:rsidP="00185DE9">
      <w:pPr>
        <w:pStyle w:val="ListParagraph"/>
        <w:ind w:left="792"/>
        <w:rPr>
          <w:rFonts w:ascii="Times New Roman" w:hAnsi="Times New Roman"/>
        </w:rPr>
      </w:pPr>
    </w:p>
    <w:p w:rsidR="00185DE9" w:rsidRDefault="00185DE9" w:rsidP="00185DE9">
      <w:pPr>
        <w:pStyle w:val="ListParagraph"/>
        <w:numPr>
          <w:ilvl w:val="0"/>
          <w:numId w:val="9"/>
        </w:numPr>
        <w:rPr>
          <w:rFonts w:ascii="Times New Roman" w:hAnsi="Times New Roman"/>
        </w:rPr>
      </w:pPr>
      <w:r>
        <w:rPr>
          <w:rFonts w:ascii="Times New Roman" w:hAnsi="Times New Roman"/>
        </w:rPr>
        <w:t>Days in Range</w:t>
      </w:r>
    </w:p>
    <w:p w:rsidR="00185DE9" w:rsidRPr="00C249DB" w:rsidRDefault="00185DE9" w:rsidP="00185DE9">
      <w:pPr>
        <w:pStyle w:val="ListParagraph"/>
        <w:ind w:left="360"/>
        <w:rPr>
          <w:rFonts w:ascii="Times New Roman" w:eastAsia="BatangChe" w:hAnsi="Times New Roman"/>
          <w:szCs w:val="24"/>
        </w:rPr>
      </w:pPr>
    </w:p>
    <w:p w:rsidR="00F01850" w:rsidRDefault="00185DE9" w:rsidP="00F01850">
      <w:pPr>
        <w:pStyle w:val="ListParagraph"/>
        <w:ind w:left="360"/>
        <w:rPr>
          <w:rFonts w:ascii="Times New Roman" w:eastAsia="BatangChe" w:hAnsi="Times New Roman"/>
          <w:szCs w:val="24"/>
        </w:rPr>
      </w:pPr>
      <w:r>
        <w:rPr>
          <w:rFonts w:ascii="Times New Roman" w:eastAsia="BatangChe" w:hAnsi="Times New Roman"/>
          <w:szCs w:val="24"/>
        </w:rPr>
        <w:t xml:space="preserve">Venous </w:t>
      </w:r>
      <w:proofErr w:type="spellStart"/>
      <w:r>
        <w:rPr>
          <w:rFonts w:ascii="Times New Roman" w:eastAsia="BatangChe" w:hAnsi="Times New Roman"/>
          <w:szCs w:val="24"/>
        </w:rPr>
        <w:t>thromboembolism</w:t>
      </w:r>
      <w:proofErr w:type="spellEnd"/>
      <w:r>
        <w:rPr>
          <w:rFonts w:ascii="Times New Roman" w:eastAsia="BatangChe" w:hAnsi="Times New Roman"/>
          <w:szCs w:val="24"/>
        </w:rPr>
        <w:t xml:space="preserve"> (</w:t>
      </w:r>
      <w:proofErr w:type="spellStart"/>
      <w:r>
        <w:rPr>
          <w:rFonts w:ascii="Times New Roman" w:eastAsia="BatangChe" w:hAnsi="Times New Roman"/>
          <w:szCs w:val="24"/>
        </w:rPr>
        <w:t>VTE</w:t>
      </w:r>
      <w:proofErr w:type="spellEnd"/>
      <w:r>
        <w:rPr>
          <w:rFonts w:ascii="Times New Roman" w:eastAsia="BatangChe" w:hAnsi="Times New Roman"/>
          <w:szCs w:val="24"/>
        </w:rPr>
        <w:t xml:space="preserve">) is a medical condition in which blood clots form within a vein that can block the vein or break off and become a life-threatening pulmonary embolism.  One treatment for </w:t>
      </w:r>
      <w:proofErr w:type="spellStart"/>
      <w:r>
        <w:rPr>
          <w:rFonts w:ascii="Times New Roman" w:eastAsia="BatangChe" w:hAnsi="Times New Roman"/>
          <w:szCs w:val="24"/>
        </w:rPr>
        <w:t>VTE</w:t>
      </w:r>
      <w:proofErr w:type="spellEnd"/>
      <w:r>
        <w:rPr>
          <w:rFonts w:ascii="Times New Roman" w:eastAsia="BatangChe" w:hAnsi="Times New Roman"/>
          <w:szCs w:val="24"/>
        </w:rPr>
        <w:t xml:space="preserve"> is the use of anticoagulants such as </w:t>
      </w:r>
      <w:proofErr w:type="spellStart"/>
      <w:r>
        <w:rPr>
          <w:rFonts w:ascii="Times New Roman" w:eastAsia="BatangChe" w:hAnsi="Times New Roman"/>
          <w:szCs w:val="24"/>
        </w:rPr>
        <w:t>warfarin</w:t>
      </w:r>
      <w:proofErr w:type="spellEnd"/>
      <w:r>
        <w:rPr>
          <w:rFonts w:ascii="Times New Roman" w:eastAsia="BatangChe" w:hAnsi="Times New Roman"/>
          <w:szCs w:val="24"/>
        </w:rPr>
        <w:t xml:space="preserve">. Anticoagulants are effective, but their level in the patient’s blood must be actively monitored.  If it is too high, the patient is at risk for internal bleeding; too low and anticoagulant won’t have a therapeutic effect.  Dosing for anticoagulants is monitored using </w:t>
      </w:r>
      <w:proofErr w:type="spellStart"/>
      <w:r>
        <w:rPr>
          <w:rFonts w:ascii="Times New Roman" w:eastAsia="BatangChe" w:hAnsi="Times New Roman"/>
          <w:szCs w:val="24"/>
        </w:rPr>
        <w:t>INR</w:t>
      </w:r>
      <w:proofErr w:type="spellEnd"/>
      <w:r>
        <w:rPr>
          <w:rFonts w:ascii="Times New Roman" w:eastAsia="BatangChe" w:hAnsi="Times New Roman"/>
          <w:szCs w:val="24"/>
        </w:rPr>
        <w:t xml:space="preserve">, a measure that represents the ease with which blood clots. The target </w:t>
      </w:r>
      <w:proofErr w:type="spellStart"/>
      <w:r>
        <w:rPr>
          <w:rFonts w:ascii="Times New Roman" w:eastAsia="BatangChe" w:hAnsi="Times New Roman"/>
          <w:szCs w:val="24"/>
        </w:rPr>
        <w:t>INR</w:t>
      </w:r>
      <w:proofErr w:type="spellEnd"/>
      <w:r>
        <w:rPr>
          <w:rFonts w:ascii="Times New Roman" w:eastAsia="BatangChe" w:hAnsi="Times New Roman"/>
          <w:szCs w:val="24"/>
        </w:rPr>
        <w:t xml:space="preserve"> for effective treatment of </w:t>
      </w:r>
      <w:proofErr w:type="spellStart"/>
      <w:r>
        <w:rPr>
          <w:rFonts w:ascii="Times New Roman" w:eastAsia="BatangChe" w:hAnsi="Times New Roman"/>
          <w:szCs w:val="24"/>
        </w:rPr>
        <w:t>VTE</w:t>
      </w:r>
      <w:proofErr w:type="spellEnd"/>
      <w:r>
        <w:rPr>
          <w:rFonts w:ascii="Times New Roman" w:eastAsia="BatangChe" w:hAnsi="Times New Roman"/>
          <w:szCs w:val="24"/>
        </w:rPr>
        <w:t xml:space="preserve"> is between 2.0 and 3.0. </w:t>
      </w:r>
      <w:r w:rsidR="00F01850">
        <w:rPr>
          <w:rFonts w:ascii="Times New Roman" w:eastAsia="BatangChe" w:hAnsi="Times New Roman"/>
          <w:szCs w:val="24"/>
        </w:rPr>
        <w:t xml:space="preserve">Clinical protocols suggest that patients with a transient risk for </w:t>
      </w:r>
      <w:proofErr w:type="spellStart"/>
      <w:r w:rsidR="00F01850">
        <w:rPr>
          <w:rFonts w:ascii="Times New Roman" w:eastAsia="BatangChe" w:hAnsi="Times New Roman"/>
          <w:szCs w:val="24"/>
        </w:rPr>
        <w:t>VTE</w:t>
      </w:r>
      <w:proofErr w:type="spellEnd"/>
      <w:r w:rsidR="00F01850">
        <w:rPr>
          <w:rFonts w:ascii="Times New Roman" w:eastAsia="BatangChe" w:hAnsi="Times New Roman"/>
          <w:szCs w:val="24"/>
        </w:rPr>
        <w:t xml:space="preserve"> be put on </w:t>
      </w:r>
      <w:proofErr w:type="spellStart"/>
      <w:r w:rsidR="00F01850">
        <w:rPr>
          <w:rFonts w:ascii="Times New Roman" w:eastAsia="BatangChe" w:hAnsi="Times New Roman"/>
          <w:szCs w:val="24"/>
        </w:rPr>
        <w:t>warfarin</w:t>
      </w:r>
      <w:proofErr w:type="spellEnd"/>
      <w:r w:rsidR="00F01850">
        <w:rPr>
          <w:rFonts w:ascii="Times New Roman" w:eastAsia="BatangChe" w:hAnsi="Times New Roman"/>
          <w:szCs w:val="24"/>
        </w:rPr>
        <w:t xml:space="preserve"> for a three-month period.  During this time the </w:t>
      </w:r>
      <w:proofErr w:type="spellStart"/>
      <w:r w:rsidR="00F01850">
        <w:rPr>
          <w:rFonts w:ascii="Times New Roman" w:eastAsia="BatangChe" w:hAnsi="Times New Roman"/>
          <w:szCs w:val="24"/>
        </w:rPr>
        <w:t>INR</w:t>
      </w:r>
      <w:proofErr w:type="spellEnd"/>
      <w:r w:rsidR="00F01850">
        <w:rPr>
          <w:rFonts w:ascii="Times New Roman" w:eastAsia="BatangChe" w:hAnsi="Times New Roman"/>
          <w:szCs w:val="24"/>
        </w:rPr>
        <w:t xml:space="preserve"> is monitored weekly.  Table 10 represents the experience of a typical patient.</w:t>
      </w:r>
    </w:p>
    <w:p w:rsidR="00F01850" w:rsidRDefault="00F01850" w:rsidP="00185DE9">
      <w:pPr>
        <w:pStyle w:val="ListParagraph"/>
        <w:ind w:left="360"/>
        <w:rPr>
          <w:rFonts w:ascii="Times New Roman" w:eastAsia="BatangChe" w:hAnsi="Times New Roman"/>
          <w:szCs w:val="24"/>
        </w:rPr>
      </w:pPr>
    </w:p>
    <w:p w:rsidR="00CE0D98" w:rsidRPr="00CE0D98" w:rsidRDefault="00CE0D98" w:rsidP="00F01850">
      <w:pPr>
        <w:pStyle w:val="ListParagraph"/>
        <w:keepNext/>
        <w:tabs>
          <w:tab w:val="center" w:pos="5220"/>
          <w:tab w:val="left" w:pos="8440"/>
        </w:tabs>
        <w:ind w:left="360"/>
        <w:rPr>
          <w:rFonts w:ascii="Times New Roman" w:eastAsia="BatangChe" w:hAnsi="Times New Roman"/>
          <w:b/>
          <w:szCs w:val="24"/>
        </w:rPr>
      </w:pPr>
      <w:r w:rsidRPr="00CE0D98">
        <w:rPr>
          <w:rFonts w:ascii="Times New Roman" w:eastAsia="BatangChe" w:hAnsi="Times New Roman"/>
          <w:b/>
          <w:szCs w:val="24"/>
        </w:rPr>
        <w:tab/>
        <w:t xml:space="preserve">Table 10:  </w:t>
      </w:r>
      <w:proofErr w:type="spellStart"/>
      <w:r w:rsidRPr="00CE0D98">
        <w:rPr>
          <w:rFonts w:ascii="Times New Roman" w:eastAsia="BatangChe" w:hAnsi="Times New Roman"/>
          <w:b/>
          <w:szCs w:val="24"/>
        </w:rPr>
        <w:t>INR</w:t>
      </w:r>
      <w:proofErr w:type="spellEnd"/>
      <w:r w:rsidRPr="00CE0D98">
        <w:rPr>
          <w:rFonts w:ascii="Times New Roman" w:eastAsia="BatangChe" w:hAnsi="Times New Roman"/>
          <w:b/>
          <w:szCs w:val="24"/>
        </w:rPr>
        <w:t xml:space="preserve"> Values </w:t>
      </w:r>
      <w:r w:rsidR="00F01850">
        <w:rPr>
          <w:rFonts w:ascii="Times New Roman" w:eastAsia="BatangChe" w:hAnsi="Times New Roman"/>
          <w:b/>
          <w:szCs w:val="24"/>
        </w:rPr>
        <w:t>o</w:t>
      </w:r>
      <w:r w:rsidRPr="00CE0D98">
        <w:rPr>
          <w:rFonts w:ascii="Times New Roman" w:eastAsia="BatangChe" w:hAnsi="Times New Roman"/>
          <w:b/>
          <w:szCs w:val="24"/>
        </w:rPr>
        <w:t xml:space="preserve">ver a </w:t>
      </w:r>
      <w:r>
        <w:rPr>
          <w:rFonts w:ascii="Times New Roman" w:eastAsia="BatangChe" w:hAnsi="Times New Roman"/>
          <w:b/>
          <w:szCs w:val="24"/>
        </w:rPr>
        <w:t>90</w:t>
      </w:r>
      <w:r w:rsidRPr="00CE0D98">
        <w:rPr>
          <w:rFonts w:ascii="Times New Roman" w:eastAsia="BatangChe" w:hAnsi="Times New Roman"/>
          <w:b/>
          <w:szCs w:val="24"/>
        </w:rPr>
        <w:t xml:space="preserve"> Day Treatment Regimen</w:t>
      </w:r>
      <w:r w:rsidRPr="00CE0D98">
        <w:rPr>
          <w:rFonts w:ascii="Times New Roman" w:eastAsia="BatangChe" w:hAnsi="Times New Roman"/>
          <w:b/>
          <w:szCs w:val="24"/>
        </w:rPr>
        <w:tab/>
      </w:r>
    </w:p>
    <w:p w:rsidR="00CE0D98" w:rsidRDefault="00CE0D98" w:rsidP="00CE0D98">
      <w:pPr>
        <w:pStyle w:val="ListParagraph"/>
        <w:ind w:left="360"/>
        <w:jc w:val="center"/>
        <w:rPr>
          <w:rFonts w:ascii="Times New Roman" w:eastAsia="BatangChe" w:hAnsi="Times New Roman"/>
          <w:szCs w:val="24"/>
        </w:rPr>
      </w:pPr>
      <w:r w:rsidRPr="00CE0D98">
        <w:rPr>
          <w:rFonts w:ascii="Times New Roman" w:eastAsia="BatangChe" w:hAnsi="Times New Roman"/>
          <w:szCs w:val="24"/>
        </w:rPr>
        <w:drawing>
          <wp:inline distT="0" distB="0" distL="0" distR="0">
            <wp:extent cx="2819400" cy="2432050"/>
            <wp:effectExtent l="19050" t="0" r="0" b="0"/>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65"/>
                    <a:stretch>
                      <a:fillRect/>
                    </a:stretch>
                  </pic:blipFill>
                  <pic:spPr bwMode="auto">
                    <a:xfrm>
                      <a:off x="0" y="0"/>
                      <a:ext cx="2819400" cy="2432050"/>
                    </a:xfrm>
                    <a:prstGeom prst="rect">
                      <a:avLst/>
                    </a:prstGeom>
                    <a:noFill/>
                    <a:ln>
                      <a:noFill/>
                    </a:ln>
                  </pic:spPr>
                </pic:pic>
              </a:graphicData>
            </a:graphic>
          </wp:inline>
        </w:drawing>
      </w:r>
    </w:p>
    <w:p w:rsidR="00185DE9" w:rsidRDefault="00185DE9" w:rsidP="00185DE9">
      <w:pPr>
        <w:pStyle w:val="ListParagraph"/>
        <w:ind w:left="360"/>
        <w:rPr>
          <w:rFonts w:ascii="Times New Roman" w:eastAsia="BatangChe" w:hAnsi="Times New Roman"/>
          <w:szCs w:val="24"/>
        </w:rPr>
      </w:pPr>
    </w:p>
    <w:p w:rsidR="00185DE9" w:rsidRDefault="00185DE9" w:rsidP="00185DE9">
      <w:pPr>
        <w:pStyle w:val="ListParagraph"/>
        <w:ind w:left="360"/>
        <w:rPr>
          <w:rFonts w:ascii="Times New Roman" w:eastAsia="BatangChe" w:hAnsi="Times New Roman"/>
          <w:szCs w:val="24"/>
        </w:rPr>
      </w:pPr>
    </w:p>
    <w:p w:rsidR="00185DE9" w:rsidRDefault="00185DE9" w:rsidP="00185DE9">
      <w:pPr>
        <w:pStyle w:val="ListParagraph"/>
        <w:numPr>
          <w:ilvl w:val="1"/>
          <w:numId w:val="9"/>
        </w:numPr>
        <w:rPr>
          <w:rFonts w:ascii="Times New Roman" w:hAnsi="Times New Roman"/>
        </w:rPr>
      </w:pPr>
      <w:r>
        <w:rPr>
          <w:rFonts w:ascii="Times New Roman" w:hAnsi="Times New Roman"/>
        </w:rPr>
        <w:t xml:space="preserve">Plot the observation data. </w:t>
      </w:r>
      <w:r w:rsidRPr="00D8486E">
        <w:rPr>
          <w:rFonts w:ascii="Times New Roman" w:hAnsi="Times New Roman"/>
        </w:rPr>
        <w:t xml:space="preserve">Calculate </w:t>
      </w:r>
      <w:r>
        <w:rPr>
          <w:rFonts w:ascii="Times New Roman" w:hAnsi="Times New Roman"/>
        </w:rPr>
        <w:t xml:space="preserve">the days on which the patient crossed control limits. </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9"/>
        </w:numPr>
        <w:rPr>
          <w:rFonts w:ascii="Times New Roman" w:hAnsi="Times New Roman"/>
        </w:rPr>
      </w:pPr>
      <w:r>
        <w:rPr>
          <w:rFonts w:ascii="Times New Roman" w:hAnsi="Times New Roman"/>
        </w:rPr>
        <w:t xml:space="preserve">Calculate the number of days the patient was in therapeutic range. </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9"/>
        </w:numPr>
        <w:rPr>
          <w:rFonts w:ascii="Times New Roman" w:hAnsi="Times New Roman"/>
        </w:rPr>
      </w:pPr>
      <w:r>
        <w:rPr>
          <w:rFonts w:ascii="Times New Roman" w:hAnsi="Times New Roman"/>
        </w:rPr>
        <w:t xml:space="preserve">Calculate the unknown days, and the percentage of days in range assuming a 3-day therapeutic horizon. </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0"/>
          <w:numId w:val="9"/>
        </w:numPr>
        <w:rPr>
          <w:rFonts w:ascii="Times New Roman" w:hAnsi="Times New Roman"/>
        </w:rPr>
      </w:pPr>
      <w:r>
        <w:rPr>
          <w:rFonts w:ascii="Times New Roman" w:hAnsi="Times New Roman"/>
        </w:rPr>
        <w:t xml:space="preserve">Odds Ratio for Cases and Controls </w:t>
      </w:r>
    </w:p>
    <w:p w:rsidR="00185DE9" w:rsidRDefault="00185DE9" w:rsidP="00185DE9">
      <w:pPr>
        <w:spacing w:after="200" w:line="276" w:lineRule="auto"/>
        <w:ind w:left="360"/>
      </w:pPr>
      <w:r>
        <w:t xml:space="preserve">Prostate cancer develops in the prostate gland in males and is common among the elderly.  Most often prostate cancer causes moderate discomfort; however, aggressive prostate cancer can be life-threatening.  </w:t>
      </w:r>
    </w:p>
    <w:p w:rsidR="00185DE9" w:rsidRDefault="00185DE9" w:rsidP="00185DE9">
      <w:pPr>
        <w:spacing w:after="200" w:line="276" w:lineRule="auto"/>
        <w:ind w:left="360"/>
      </w:pPr>
      <w:r>
        <w:t xml:space="preserve">The presence of prostate cancer is indicated by high </w:t>
      </w:r>
      <w:r w:rsidRPr="00C249DB">
        <w:t>levels of Prostate-Specific Antigen (</w:t>
      </w:r>
      <w:proofErr w:type="spellStart"/>
      <w:r w:rsidRPr="00C249DB">
        <w:t>PSA</w:t>
      </w:r>
      <w:proofErr w:type="spellEnd"/>
      <w:r w:rsidRPr="00C249DB">
        <w:t xml:space="preserve">).  Men at low risk for prostate cancer have a </w:t>
      </w:r>
      <w:proofErr w:type="spellStart"/>
      <w:r w:rsidRPr="00C249DB">
        <w:t>PSA</w:t>
      </w:r>
      <w:proofErr w:type="spellEnd"/>
      <w:r w:rsidRPr="00C249DB">
        <w:t xml:space="preserve"> level </w:t>
      </w:r>
      <w:proofErr w:type="gramStart"/>
      <w:r w:rsidRPr="00C249DB">
        <w:t xml:space="preserve">of less than 10 </w:t>
      </w:r>
      <w:proofErr w:type="spellStart"/>
      <w:r w:rsidRPr="00C249DB">
        <w:t>ng</w:t>
      </w:r>
      <w:proofErr w:type="spellEnd"/>
      <w:r w:rsidRPr="00C249DB">
        <w:t>/ml (</w:t>
      </w:r>
      <w:proofErr w:type="spellStart"/>
      <w:r w:rsidRPr="00C249DB">
        <w:rPr>
          <w:color w:val="444444"/>
          <w:shd w:val="clear" w:color="auto" w:fill="FFFFFF"/>
        </w:rPr>
        <w:t>nanograms</w:t>
      </w:r>
      <w:proofErr w:type="spellEnd"/>
      <w:r w:rsidRPr="00C249DB">
        <w:rPr>
          <w:color w:val="444444"/>
          <w:shd w:val="clear" w:color="auto" w:fill="FFFFFF"/>
        </w:rPr>
        <w:t xml:space="preserve"> per milliliter)</w:t>
      </w:r>
      <w:proofErr w:type="gramEnd"/>
      <w:r w:rsidRPr="00C249DB">
        <w:t>;</w:t>
      </w:r>
      <w:r>
        <w:t xml:space="preserve"> those at intermediate risk have </w:t>
      </w:r>
      <w:proofErr w:type="spellStart"/>
      <w:r>
        <w:t>PSA</w:t>
      </w:r>
      <w:proofErr w:type="spellEnd"/>
      <w:r>
        <w:t xml:space="preserve"> levels between 10 and 20 </w:t>
      </w:r>
      <w:proofErr w:type="spellStart"/>
      <w:r>
        <w:t>ng</w:t>
      </w:r>
      <w:proofErr w:type="spellEnd"/>
      <w:r>
        <w:t xml:space="preserve">/ml. </w:t>
      </w:r>
    </w:p>
    <w:p w:rsidR="00185DE9" w:rsidRDefault="00185DE9" w:rsidP="00185DE9">
      <w:pPr>
        <w:spacing w:after="200" w:line="276" w:lineRule="auto"/>
        <w:ind w:left="360"/>
      </w:pPr>
      <w:r>
        <w:t>Radiation therapy is one of the most successful treatments to combat localized prostate cancer.  In these treatments, tumors are irradiated, destroying or weakening cancer cells.  Dosing for radiation is measured in Grays (</w:t>
      </w:r>
      <w:proofErr w:type="spellStart"/>
      <w:r>
        <w:t>Gy</w:t>
      </w:r>
      <w:proofErr w:type="spellEnd"/>
      <w:r>
        <w:t xml:space="preserve">).  Typical radiation dosing for prostate patients is 70.2 </w:t>
      </w:r>
      <w:proofErr w:type="spellStart"/>
      <w:r>
        <w:t>Gy</w:t>
      </w:r>
      <w:proofErr w:type="spellEnd"/>
      <w:r>
        <w:t>.</w:t>
      </w:r>
    </w:p>
    <w:p w:rsidR="00185DE9" w:rsidRDefault="00185DE9" w:rsidP="00185DE9">
      <w:pPr>
        <w:spacing w:after="200" w:line="276" w:lineRule="auto"/>
        <w:ind w:left="360"/>
      </w:pPr>
      <w:r>
        <w:t xml:space="preserve">There is evidence that higher doses of radiation might be more effective in managing prostate cancer.  Table </w:t>
      </w:r>
      <w:r w:rsidR="00F01850">
        <w:t>11</w:t>
      </w:r>
      <w:r>
        <w:t xml:space="preserve"> shows the experience of fifteen participants in a study in which a control group was given the usual dosage of 70.2 </w:t>
      </w:r>
      <w:proofErr w:type="spellStart"/>
      <w:r>
        <w:t>Gy</w:t>
      </w:r>
      <w:proofErr w:type="spellEnd"/>
      <w:r>
        <w:t xml:space="preserve"> of radiation, while an experimental group was given 79.2 </w:t>
      </w:r>
      <w:proofErr w:type="spellStart"/>
      <w:r>
        <w:t>Gy</w:t>
      </w:r>
      <w:proofErr w:type="spellEnd"/>
      <w:r>
        <w:t xml:space="preserve">.  Participants were enrolled over one year in an oncology clinic, and then monitored for six months thereafter.  A relapse of cancer was indicated if the </w:t>
      </w:r>
      <w:proofErr w:type="spellStart"/>
      <w:r>
        <w:t>PSA</w:t>
      </w:r>
      <w:proofErr w:type="spellEnd"/>
      <w:r>
        <w:t xml:space="preserve"> level rose to 11 or higher.  </w:t>
      </w:r>
    </w:p>
    <w:p w:rsidR="00F01850" w:rsidRPr="00F01850" w:rsidRDefault="00F01850" w:rsidP="00F01850">
      <w:pPr>
        <w:keepNext/>
        <w:ind w:left="360"/>
        <w:jc w:val="center"/>
        <w:rPr>
          <w:b/>
        </w:rPr>
      </w:pPr>
      <w:r w:rsidRPr="00F01850">
        <w:rPr>
          <w:b/>
        </w:rPr>
        <w:t>Table 11:  Response to Treatment for Prostate Cancer</w:t>
      </w:r>
    </w:p>
    <w:p w:rsidR="00F01850" w:rsidRDefault="00F01850" w:rsidP="00F01850">
      <w:pPr>
        <w:spacing w:after="200" w:line="276" w:lineRule="auto"/>
        <w:ind w:left="360"/>
        <w:jc w:val="center"/>
      </w:pPr>
      <w:r w:rsidRPr="00F01850">
        <w:drawing>
          <wp:inline distT="0" distB="0" distL="0" distR="0">
            <wp:extent cx="3454400" cy="3448050"/>
            <wp:effectExtent l="19050" t="0" r="0" b="0"/>
            <wp:docPr id="2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36"/>
                    <a:stretch>
                      <a:fillRect/>
                    </a:stretch>
                  </pic:blipFill>
                  <pic:spPr bwMode="auto">
                    <a:xfrm>
                      <a:off x="0" y="0"/>
                      <a:ext cx="3454400" cy="3448050"/>
                    </a:xfrm>
                    <a:prstGeom prst="rect">
                      <a:avLst/>
                    </a:prstGeom>
                    <a:noFill/>
                    <a:ln>
                      <a:noFill/>
                    </a:ln>
                  </pic:spPr>
                </pic:pic>
              </a:graphicData>
            </a:graphic>
          </wp:inline>
        </w:drawing>
      </w:r>
    </w:p>
    <w:p w:rsidR="00185DE9" w:rsidRDefault="00185DE9" w:rsidP="00185DE9">
      <w:pPr>
        <w:pStyle w:val="ListParagraph"/>
        <w:numPr>
          <w:ilvl w:val="1"/>
          <w:numId w:val="9"/>
        </w:numPr>
        <w:rPr>
          <w:rFonts w:ascii="Times New Roman" w:hAnsi="Times New Roman"/>
        </w:rPr>
      </w:pPr>
      <w:r>
        <w:rPr>
          <w:rFonts w:ascii="Times New Roman" w:hAnsi="Times New Roman"/>
        </w:rPr>
        <w:t>Complete the following Odds Ratio Table.</w:t>
      </w:r>
    </w:p>
    <w:p w:rsidR="00185DE9" w:rsidRPr="006D0555" w:rsidRDefault="00185DE9" w:rsidP="00185DE9">
      <w:pPr>
        <w:pStyle w:val="ListParagraph"/>
        <w:spacing w:after="0"/>
        <w:ind w:left="792"/>
        <w:rPr>
          <w:rFonts w:ascii="Times New Roman" w:hAnsi="Times New Roman"/>
        </w:rPr>
      </w:pPr>
      <w:r w:rsidRPr="006D0555">
        <w:rPr>
          <w:rFonts w:ascii="Times New Roman" w:hAnsi="Times New Roman"/>
        </w:rPr>
        <w:t xml:space="preserve"> </w:t>
      </w:r>
    </w:p>
    <w:p w:rsidR="00185DE9" w:rsidRPr="006D0555" w:rsidRDefault="00185DE9" w:rsidP="00185DE9">
      <w:pPr>
        <w:ind w:left="2160"/>
      </w:pPr>
      <w:r>
        <w:t xml:space="preserve">   </w:t>
      </w:r>
      <w:r w:rsidRPr="006D0555">
        <w:t xml:space="preserve">Relapse of Prostate Cancer </w:t>
      </w:r>
      <w:proofErr w:type="gramStart"/>
      <w:r w:rsidRPr="006D0555">
        <w:t>Among</w:t>
      </w:r>
      <w:proofErr w:type="gramEnd"/>
      <w:r w:rsidRPr="006D0555">
        <w:t xml:space="preserve"> Study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9"/>
        <w:gridCol w:w="2059"/>
        <w:gridCol w:w="2059"/>
      </w:tblGrid>
      <w:tr w:rsidR="00185DE9" w:rsidRPr="006D0555" w:rsidTr="00190400">
        <w:trPr>
          <w:jc w:val="center"/>
        </w:trPr>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Outcome</w:t>
            </w:r>
          </w:p>
        </w:tc>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Cases</w:t>
            </w:r>
          </w:p>
        </w:tc>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Controls</w:t>
            </w:r>
          </w:p>
        </w:tc>
      </w:tr>
      <w:tr w:rsidR="00185DE9" w:rsidRPr="006D0555" w:rsidTr="00190400">
        <w:trPr>
          <w:jc w:val="center"/>
        </w:trPr>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Yes</w:t>
            </w:r>
          </w:p>
        </w:tc>
        <w:tc>
          <w:tcPr>
            <w:tcW w:w="2059" w:type="dxa"/>
          </w:tcPr>
          <w:p w:rsidR="00185DE9" w:rsidRPr="006D0555" w:rsidRDefault="00185DE9" w:rsidP="00190400">
            <w:pPr>
              <w:spacing w:line="276" w:lineRule="auto"/>
              <w:jc w:val="center"/>
            </w:pPr>
          </w:p>
        </w:tc>
        <w:tc>
          <w:tcPr>
            <w:tcW w:w="2059" w:type="dxa"/>
          </w:tcPr>
          <w:p w:rsidR="00185DE9" w:rsidRPr="006D0555" w:rsidRDefault="00185DE9" w:rsidP="00190400">
            <w:pPr>
              <w:spacing w:line="276" w:lineRule="auto"/>
              <w:jc w:val="center"/>
              <w:rPr>
                <w:rFonts w:cs="Arial"/>
                <w:sz w:val="28"/>
                <w:szCs w:val="28"/>
              </w:rPr>
            </w:pPr>
          </w:p>
        </w:tc>
      </w:tr>
      <w:tr w:rsidR="00185DE9" w:rsidRPr="006D0555" w:rsidTr="00190400">
        <w:trPr>
          <w:jc w:val="center"/>
        </w:trPr>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No</w:t>
            </w:r>
          </w:p>
        </w:tc>
        <w:tc>
          <w:tcPr>
            <w:tcW w:w="2059" w:type="dxa"/>
          </w:tcPr>
          <w:p w:rsidR="00185DE9" w:rsidRPr="006D0555" w:rsidRDefault="00185DE9" w:rsidP="00190400">
            <w:pPr>
              <w:spacing w:line="276" w:lineRule="auto"/>
              <w:jc w:val="center"/>
              <w:rPr>
                <w:rFonts w:cs="Arial"/>
                <w:sz w:val="28"/>
                <w:szCs w:val="28"/>
              </w:rPr>
            </w:pPr>
          </w:p>
        </w:tc>
        <w:tc>
          <w:tcPr>
            <w:tcW w:w="2059" w:type="dxa"/>
          </w:tcPr>
          <w:p w:rsidR="00185DE9" w:rsidRPr="006D0555" w:rsidRDefault="00185DE9" w:rsidP="00190400">
            <w:pPr>
              <w:spacing w:line="276" w:lineRule="auto"/>
              <w:jc w:val="center"/>
              <w:rPr>
                <w:rFonts w:cs="Arial"/>
                <w:sz w:val="28"/>
                <w:szCs w:val="28"/>
              </w:rPr>
            </w:pPr>
          </w:p>
        </w:tc>
      </w:tr>
      <w:tr w:rsidR="00185DE9" w:rsidRPr="006D0555" w:rsidTr="00190400">
        <w:trPr>
          <w:jc w:val="center"/>
        </w:trPr>
        <w:tc>
          <w:tcPr>
            <w:tcW w:w="2059" w:type="dxa"/>
          </w:tcPr>
          <w:p w:rsidR="00185DE9" w:rsidRPr="006D0555" w:rsidRDefault="00185DE9" w:rsidP="00190400">
            <w:pPr>
              <w:spacing w:line="276" w:lineRule="auto"/>
              <w:jc w:val="center"/>
              <w:rPr>
                <w:rFonts w:cs="Arial"/>
                <w:bCs/>
                <w:color w:val="000000"/>
                <w:szCs w:val="22"/>
              </w:rPr>
            </w:pPr>
            <w:r w:rsidRPr="006D0555">
              <w:rPr>
                <w:rFonts w:cs="Arial"/>
                <w:bCs/>
                <w:color w:val="000000"/>
                <w:szCs w:val="22"/>
              </w:rPr>
              <w:t>Total</w:t>
            </w:r>
          </w:p>
        </w:tc>
        <w:tc>
          <w:tcPr>
            <w:tcW w:w="2059" w:type="dxa"/>
          </w:tcPr>
          <w:p w:rsidR="00185DE9" w:rsidRPr="006D0555" w:rsidRDefault="00185DE9" w:rsidP="00190400">
            <w:pPr>
              <w:jc w:val="center"/>
              <w:rPr>
                <w:rFonts w:cs="Arial"/>
                <w:sz w:val="28"/>
                <w:szCs w:val="28"/>
              </w:rPr>
            </w:pPr>
          </w:p>
        </w:tc>
        <w:tc>
          <w:tcPr>
            <w:tcW w:w="2059" w:type="dxa"/>
          </w:tcPr>
          <w:p w:rsidR="00185DE9" w:rsidRPr="006D0555" w:rsidRDefault="00185DE9" w:rsidP="00190400">
            <w:pPr>
              <w:jc w:val="center"/>
              <w:rPr>
                <w:rFonts w:ascii="Calibri" w:hAnsi="Calibri"/>
              </w:rPr>
            </w:pPr>
          </w:p>
        </w:tc>
      </w:tr>
    </w:tbl>
    <w:p w:rsidR="00185DE9" w:rsidRDefault="00185DE9" w:rsidP="00185DE9">
      <w:pPr>
        <w:pStyle w:val="ListParagraph"/>
        <w:ind w:left="360"/>
        <w:rPr>
          <w:rFonts w:ascii="Times New Roman" w:hAnsi="Times New Roman"/>
        </w:rPr>
      </w:pPr>
    </w:p>
    <w:p w:rsidR="00185DE9" w:rsidRDefault="00185DE9" w:rsidP="00185DE9">
      <w:pPr>
        <w:pStyle w:val="ListParagraph"/>
        <w:numPr>
          <w:ilvl w:val="1"/>
          <w:numId w:val="11"/>
        </w:numPr>
        <w:rPr>
          <w:rFonts w:ascii="Times New Roman" w:hAnsi="Times New Roman"/>
        </w:rPr>
      </w:pPr>
      <w:r>
        <w:rPr>
          <w:rFonts w:ascii="Times New Roman" w:hAnsi="Times New Roman"/>
        </w:rPr>
        <w:t>What are the odds of having a relapse among Case patients?  Among Control Patients?</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11"/>
        </w:numPr>
        <w:rPr>
          <w:rFonts w:ascii="Times New Roman" w:hAnsi="Times New Roman"/>
        </w:rPr>
      </w:pPr>
      <w:r>
        <w:rPr>
          <w:rFonts w:ascii="Times New Roman" w:hAnsi="Times New Roman"/>
        </w:rPr>
        <w:t>Calculate a) the L Statistic, b) the Standard Deviation for L.</w:t>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11"/>
        </w:numPr>
        <w:rPr>
          <w:rFonts w:ascii="Times New Roman" w:hAnsi="Times New Roman"/>
        </w:rPr>
      </w:pPr>
      <w:r>
        <w:rPr>
          <w:rFonts w:ascii="Times New Roman" w:hAnsi="Times New Roman"/>
        </w:rPr>
        <w:t>Calculate a 95% confidence interface for L.</w:t>
      </w:r>
    </w:p>
    <w:p w:rsidR="00185DE9" w:rsidRPr="00C249DB" w:rsidRDefault="00185DE9" w:rsidP="00185DE9">
      <w:pPr>
        <w:pStyle w:val="ListParagraph"/>
        <w:spacing w:after="0"/>
        <w:ind w:left="792"/>
        <w:rPr>
          <w:rFonts w:ascii="Times New Roman" w:hAnsi="Times New Roman"/>
        </w:rPr>
      </w:pPr>
      <w:r w:rsidRPr="00C249DB">
        <w:rPr>
          <w:rFonts w:ascii="Times New Roman" w:hAnsi="Times New Roman"/>
        </w:rPr>
        <w:t xml:space="preserve"> </w:t>
      </w:r>
    </w:p>
    <w:p w:rsidR="00185DE9" w:rsidRPr="006D0555" w:rsidRDefault="00185DE9" w:rsidP="00185DE9">
      <w:pPr>
        <w:pStyle w:val="ListParagraph"/>
        <w:numPr>
          <w:ilvl w:val="0"/>
          <w:numId w:val="11"/>
        </w:numPr>
        <w:rPr>
          <w:rFonts w:ascii="Times New Roman" w:hAnsi="Times New Roman"/>
        </w:rPr>
      </w:pPr>
      <w:r>
        <w:rPr>
          <w:rFonts w:ascii="Times New Roman" w:hAnsi="Times New Roman"/>
        </w:rPr>
        <w:t>Kaplan Meier Survival Graph</w:t>
      </w:r>
    </w:p>
    <w:p w:rsidR="00185DE9" w:rsidRDefault="00185DE9" w:rsidP="00185DE9">
      <w:pPr>
        <w:spacing w:after="200" w:line="276" w:lineRule="auto"/>
        <w:ind w:left="360"/>
      </w:pPr>
    </w:p>
    <w:p w:rsidR="00185DE9" w:rsidRDefault="00F01850" w:rsidP="00185DE9">
      <w:pPr>
        <w:pStyle w:val="ListParagraph"/>
        <w:numPr>
          <w:ilvl w:val="1"/>
          <w:numId w:val="12"/>
        </w:numPr>
        <w:rPr>
          <w:rFonts w:ascii="Times New Roman" w:hAnsi="Times New Roman"/>
        </w:rPr>
      </w:pPr>
      <w:r w:rsidRPr="00F01850">
        <w:rPr>
          <w:rFonts w:ascii="Times New Roman" w:hAnsi="Times New Roman"/>
        </w:rPr>
        <w:t>For the data presented in Table 11</w:t>
      </w:r>
      <w:r>
        <w:rPr>
          <w:rFonts w:ascii="Times New Roman" w:hAnsi="Times New Roman"/>
        </w:rPr>
        <w:t>, c</w:t>
      </w:r>
      <w:r w:rsidR="00185DE9">
        <w:rPr>
          <w:rFonts w:ascii="Times New Roman" w:hAnsi="Times New Roman"/>
        </w:rPr>
        <w:t xml:space="preserve">omplete the table below for Control patients. </w:t>
      </w:r>
    </w:p>
    <w:p w:rsidR="00185DE9" w:rsidRDefault="00185DE9" w:rsidP="00185DE9">
      <w:pPr>
        <w:pStyle w:val="ListParagraph"/>
        <w:ind w:left="360"/>
        <w:rPr>
          <w:rFonts w:ascii="Times New Roman" w:hAnsi="Times New Roman"/>
        </w:rPr>
      </w:pPr>
      <w:r w:rsidRPr="00E620EA">
        <w:rPr>
          <w:noProof/>
        </w:rPr>
        <w:drawing>
          <wp:anchor distT="0" distB="0" distL="114300" distR="114300" simplePos="0" relativeHeight="251672576" behindDoc="1" locked="0" layoutInCell="1" allowOverlap="1">
            <wp:simplePos x="0" y="0"/>
            <wp:positionH relativeFrom="column">
              <wp:posOffset>483870</wp:posOffset>
            </wp:positionH>
            <wp:positionV relativeFrom="paragraph">
              <wp:posOffset>117475</wp:posOffset>
            </wp:positionV>
            <wp:extent cx="5706110" cy="2867660"/>
            <wp:effectExtent l="0" t="0" r="0" b="0"/>
            <wp:wrapTight wrapText="bothSides">
              <wp:wrapPolygon edited="0">
                <wp:start x="0" y="0"/>
                <wp:lineTo x="0" y="21523"/>
                <wp:lineTo x="21562" y="21523"/>
                <wp:lineTo x="2156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110" cy="2867660"/>
                    </a:xfrm>
                    <a:prstGeom prst="rect">
                      <a:avLst/>
                    </a:prstGeom>
                    <a:noFill/>
                    <a:ln>
                      <a:noFill/>
                    </a:ln>
                  </pic:spPr>
                </pic:pic>
              </a:graphicData>
            </a:graphic>
          </wp:anchor>
        </w:drawing>
      </w: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Pr="006D0555" w:rsidRDefault="00185DE9" w:rsidP="00185DE9">
      <w:pPr>
        <w:pStyle w:val="ListParagraph"/>
        <w:numPr>
          <w:ilvl w:val="1"/>
          <w:numId w:val="12"/>
        </w:numPr>
        <w:rPr>
          <w:rFonts w:ascii="Times New Roman" w:hAnsi="Times New Roman"/>
        </w:rPr>
      </w:pPr>
      <w:r>
        <w:rPr>
          <w:rFonts w:ascii="Times New Roman" w:hAnsi="Times New Roman"/>
        </w:rPr>
        <w:t xml:space="preserve">Draw the </w:t>
      </w:r>
      <w:r w:rsidRPr="006D0555">
        <w:rPr>
          <w:rFonts w:ascii="Times New Roman" w:hAnsi="Times New Roman"/>
        </w:rPr>
        <w:t>Kaplan Meier Survival Graph</w:t>
      </w:r>
    </w:p>
    <w:p w:rsidR="00185DE9" w:rsidRDefault="00185DE9" w:rsidP="00185DE9">
      <w:pPr>
        <w:pStyle w:val="ListParagraph"/>
        <w:ind w:left="792"/>
        <w:rPr>
          <w:rFonts w:ascii="Times New Roman" w:hAnsi="Times New Roman"/>
        </w:rPr>
      </w:pPr>
    </w:p>
    <w:p w:rsidR="00185DE9" w:rsidRDefault="00185DE9" w:rsidP="00185DE9">
      <w:pPr>
        <w:spacing w:after="200" w:line="276" w:lineRule="auto"/>
        <w:rPr>
          <w:rFonts w:ascii="Cambria" w:hAnsi="Cambria"/>
          <w:b/>
          <w:bCs/>
          <w:color w:val="365F91"/>
          <w:sz w:val="28"/>
          <w:szCs w:val="28"/>
        </w:rPr>
      </w:pPr>
      <w:r>
        <w:br w:type="page"/>
      </w:r>
    </w:p>
    <w:p w:rsidR="00185DE9" w:rsidRDefault="00185DE9" w:rsidP="00185DE9">
      <w:pPr>
        <w:pStyle w:val="Heading1"/>
      </w:pPr>
      <w:r>
        <w:t>Problem Solutions</w:t>
      </w:r>
    </w:p>
    <w:p w:rsidR="00185DE9" w:rsidRDefault="00185DE9" w:rsidP="00185DE9">
      <w:pPr>
        <w:spacing w:line="276" w:lineRule="auto"/>
        <w:ind w:left="360" w:hanging="360"/>
      </w:pPr>
    </w:p>
    <w:p w:rsidR="00185DE9" w:rsidRDefault="00185DE9" w:rsidP="00A074F6">
      <w:pPr>
        <w:pStyle w:val="ListParagraph"/>
        <w:numPr>
          <w:ilvl w:val="0"/>
          <w:numId w:val="10"/>
        </w:numPr>
      </w:pPr>
      <w:r>
        <w:t>Matching Controls to Cases</w:t>
      </w:r>
    </w:p>
    <w:p w:rsidR="00A074F6" w:rsidRDefault="00A074F6" w:rsidP="00A074F6"/>
    <w:p w:rsidR="000B5F91" w:rsidRDefault="000B5F91" w:rsidP="000B5F91">
      <w:pPr>
        <w:pStyle w:val="ListParagraph"/>
        <w:numPr>
          <w:ilvl w:val="1"/>
          <w:numId w:val="10"/>
        </w:numPr>
        <w:rPr>
          <w:rFonts w:ascii="Times New Roman" w:hAnsi="Times New Roman"/>
        </w:rPr>
      </w:pPr>
      <w:r>
        <w:rPr>
          <w:rFonts w:ascii="Times New Roman" w:hAnsi="Times New Roman"/>
        </w:rPr>
        <w:t xml:space="preserve">Participants 7, 8 and 12 were randomly selected to participate in the study group.  Create a data table from which to perform the matching analysis.  The table should include the Participant Number, Study or Control Group Flag, Sodium Level, and Random Number Assignment. </w:t>
      </w:r>
    </w:p>
    <w:p w:rsidR="000B5F91" w:rsidRDefault="000B5F91" w:rsidP="000B5F91">
      <w:pPr>
        <w:pStyle w:val="ListParagraph"/>
        <w:ind w:left="792"/>
        <w:rPr>
          <w:rFonts w:ascii="Times New Roman" w:hAnsi="Times New Roman"/>
        </w:rPr>
      </w:pPr>
    </w:p>
    <w:p w:rsidR="000B5F91" w:rsidRDefault="000B5F91" w:rsidP="000B5F91">
      <w:pPr>
        <w:pStyle w:val="ListParagraph"/>
        <w:ind w:left="792"/>
        <w:rPr>
          <w:rFonts w:ascii="Times New Roman" w:hAnsi="Times New Roman"/>
        </w:rPr>
      </w:pPr>
      <w:r w:rsidRPr="00A5547E">
        <w:rPr>
          <w:noProof/>
        </w:rPr>
        <w:drawing>
          <wp:inline distT="0" distB="0" distL="0" distR="0">
            <wp:extent cx="2122170" cy="24872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170" cy="2487295"/>
                    </a:xfrm>
                    <a:prstGeom prst="rect">
                      <a:avLst/>
                    </a:prstGeom>
                    <a:noFill/>
                    <a:ln>
                      <a:noFill/>
                    </a:ln>
                  </pic:spPr>
                </pic:pic>
              </a:graphicData>
            </a:graphic>
          </wp:inline>
        </w:drawing>
      </w:r>
    </w:p>
    <w:p w:rsidR="000B5F91" w:rsidRDefault="000B5F91" w:rsidP="000B5F91">
      <w:pPr>
        <w:pStyle w:val="ListParagraph"/>
        <w:ind w:left="792"/>
        <w:rPr>
          <w:rFonts w:ascii="Times New Roman" w:hAnsi="Times New Roman"/>
        </w:rPr>
      </w:pPr>
      <w:r>
        <w:rPr>
          <w:rFonts w:ascii="Times New Roman" w:hAnsi="Times New Roman"/>
        </w:rPr>
        <w:t xml:space="preserve"> </w:t>
      </w:r>
    </w:p>
    <w:p w:rsidR="00185DE9" w:rsidRPr="00C249DB" w:rsidRDefault="00185DE9" w:rsidP="00185DE9">
      <w:pPr>
        <w:pStyle w:val="ListParagraph"/>
        <w:numPr>
          <w:ilvl w:val="1"/>
          <w:numId w:val="10"/>
        </w:numPr>
        <w:rPr>
          <w:rFonts w:ascii="Times New Roman" w:hAnsi="Times New Roman"/>
        </w:rPr>
      </w:pPr>
      <w:r w:rsidRPr="00C249DB">
        <w:rPr>
          <w:rFonts w:ascii="Times New Roman" w:hAnsi="Times New Roman"/>
        </w:rPr>
        <w:t>Matching on Daily Sodium Intake</w:t>
      </w:r>
      <w:r>
        <w:rPr>
          <w:rFonts w:ascii="Times New Roman" w:hAnsi="Times New Roman"/>
        </w:rPr>
        <w:t>,</w:t>
      </w:r>
      <w:r w:rsidRPr="00C249DB">
        <w:rPr>
          <w:rFonts w:ascii="Times New Roman" w:hAnsi="Times New Roman"/>
        </w:rPr>
        <w:t xml:space="preserve"> which three participants would be the best controls for Participant 7?</w:t>
      </w:r>
    </w:p>
    <w:p w:rsidR="00185DE9" w:rsidRPr="00C249DB" w:rsidRDefault="00185DE9" w:rsidP="00185DE9">
      <w:pPr>
        <w:pStyle w:val="ListParagraph"/>
        <w:spacing w:after="0"/>
        <w:rPr>
          <w:rFonts w:ascii="Times New Roman" w:hAnsi="Times New Roman"/>
          <w:u w:val="single"/>
        </w:rPr>
      </w:pPr>
      <w:r w:rsidRPr="00C249DB">
        <w:rPr>
          <w:rFonts w:ascii="Times New Roman" w:hAnsi="Times New Roman"/>
          <w:noProof/>
          <w:u w:val="single"/>
        </w:rPr>
        <w:drawing>
          <wp:anchor distT="0" distB="0" distL="114300" distR="114300" simplePos="0" relativeHeight="251666432" behindDoc="1" locked="0" layoutInCell="1" allowOverlap="1">
            <wp:simplePos x="0" y="0"/>
            <wp:positionH relativeFrom="column">
              <wp:posOffset>511810</wp:posOffset>
            </wp:positionH>
            <wp:positionV relativeFrom="paragraph">
              <wp:posOffset>64135</wp:posOffset>
            </wp:positionV>
            <wp:extent cx="4588510" cy="265366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510" cy="2653665"/>
                    </a:xfrm>
                    <a:prstGeom prst="rect">
                      <a:avLst/>
                    </a:prstGeom>
                    <a:noFill/>
                    <a:ln>
                      <a:noFill/>
                    </a:ln>
                  </pic:spPr>
                </pic:pic>
              </a:graphicData>
            </a:graphic>
          </wp:anchor>
        </w:drawing>
      </w: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Pr="00C249DB" w:rsidRDefault="00185DE9" w:rsidP="00185DE9">
      <w:pPr>
        <w:pStyle w:val="ListParagraph"/>
        <w:rPr>
          <w:rFonts w:ascii="Times New Roman" w:hAnsi="Times New Roman"/>
        </w:rPr>
      </w:pPr>
    </w:p>
    <w:p w:rsidR="00185DE9" w:rsidRDefault="00185DE9" w:rsidP="00185DE9">
      <w:pPr>
        <w:pStyle w:val="ListParagraph"/>
        <w:numPr>
          <w:ilvl w:val="1"/>
          <w:numId w:val="10"/>
        </w:numPr>
        <w:rPr>
          <w:rFonts w:ascii="Times New Roman" w:hAnsi="Times New Roman"/>
        </w:rPr>
      </w:pPr>
      <w:r w:rsidRPr="00C249DB">
        <w:rPr>
          <w:noProof/>
        </w:rPr>
        <w:drawing>
          <wp:anchor distT="0" distB="0" distL="114300" distR="114300" simplePos="0" relativeHeight="251667456" behindDoc="1" locked="0" layoutInCell="1" allowOverlap="1">
            <wp:simplePos x="0" y="0"/>
            <wp:positionH relativeFrom="column">
              <wp:posOffset>523875</wp:posOffset>
            </wp:positionH>
            <wp:positionV relativeFrom="paragraph">
              <wp:posOffset>251460</wp:posOffset>
            </wp:positionV>
            <wp:extent cx="4589780" cy="2800985"/>
            <wp:effectExtent l="0" t="0" r="0" b="0"/>
            <wp:wrapTight wrapText="bothSides">
              <wp:wrapPolygon edited="0">
                <wp:start x="0" y="0"/>
                <wp:lineTo x="0" y="21448"/>
                <wp:lineTo x="19006" y="21448"/>
                <wp:lineTo x="19006" y="21154"/>
                <wp:lineTo x="21516" y="20420"/>
                <wp:lineTo x="21516" y="18951"/>
                <wp:lineTo x="20709" y="18804"/>
                <wp:lineTo x="21516" y="18069"/>
                <wp:lineTo x="21516" y="9990"/>
                <wp:lineTo x="19006" y="9402"/>
                <wp:lineTo x="21516" y="9108"/>
                <wp:lineTo x="21516" y="7786"/>
                <wp:lineTo x="19006" y="7051"/>
                <wp:lineTo x="21516" y="6905"/>
                <wp:lineTo x="21516" y="5436"/>
                <wp:lineTo x="19006" y="4701"/>
                <wp:lineTo x="21427" y="4701"/>
                <wp:lineTo x="21516" y="4554"/>
                <wp:lineTo x="2151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780" cy="2800985"/>
                    </a:xfrm>
                    <a:prstGeom prst="rect">
                      <a:avLst/>
                    </a:prstGeom>
                    <a:noFill/>
                    <a:ln>
                      <a:noFill/>
                    </a:ln>
                  </pic:spPr>
                </pic:pic>
              </a:graphicData>
            </a:graphic>
          </wp:anchor>
        </w:drawing>
      </w:r>
      <w:r w:rsidRPr="00C249DB">
        <w:rPr>
          <w:rFonts w:ascii="Times New Roman" w:hAnsi="Times New Roman"/>
        </w:rPr>
        <w:t>Which is the single best control for Participant 12?</w:t>
      </w:r>
    </w:p>
    <w:p w:rsidR="00185DE9" w:rsidRPr="00763505" w:rsidRDefault="00185DE9" w:rsidP="00185DE9"/>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Default="00185DE9" w:rsidP="00185DE9">
      <w:pPr>
        <w:spacing w:after="200" w:line="276" w:lineRule="auto"/>
        <w:ind w:left="360" w:hanging="360"/>
      </w:pPr>
    </w:p>
    <w:p w:rsidR="00185DE9" w:rsidRPr="00763505" w:rsidRDefault="00185DE9" w:rsidP="00185DE9"/>
    <w:p w:rsidR="00185DE9" w:rsidRDefault="00185DE9" w:rsidP="00185DE9">
      <w:pPr>
        <w:pStyle w:val="ListParagraph"/>
        <w:numPr>
          <w:ilvl w:val="0"/>
          <w:numId w:val="10"/>
        </w:numPr>
        <w:rPr>
          <w:rFonts w:ascii="Times New Roman" w:hAnsi="Times New Roman"/>
        </w:rPr>
      </w:pPr>
      <w:r w:rsidRPr="00C249DB">
        <w:rPr>
          <w:rFonts w:ascii="Times New Roman" w:hAnsi="Times New Roman"/>
        </w:rPr>
        <w:t>Verification of Matching</w:t>
      </w:r>
    </w:p>
    <w:p w:rsidR="00185DE9" w:rsidRPr="00C249DB" w:rsidRDefault="00185DE9" w:rsidP="00185DE9">
      <w:pPr>
        <w:pStyle w:val="ListParagraph"/>
        <w:ind w:left="360"/>
        <w:rPr>
          <w:rFonts w:ascii="Times New Roman" w:hAnsi="Times New Roman"/>
        </w:rPr>
      </w:pPr>
    </w:p>
    <w:p w:rsidR="00185DE9" w:rsidRDefault="00185DE9" w:rsidP="00185DE9">
      <w:pPr>
        <w:pStyle w:val="ListParagraph"/>
        <w:numPr>
          <w:ilvl w:val="1"/>
          <w:numId w:val="10"/>
        </w:numPr>
        <w:rPr>
          <w:rFonts w:ascii="Times New Roman" w:hAnsi="Times New Roman"/>
        </w:rPr>
      </w:pPr>
      <w:r>
        <w:rPr>
          <w:rFonts w:ascii="Times New Roman" w:hAnsi="Times New Roman"/>
        </w:rPr>
        <w:t>State the hypothesis to be tested.</w:t>
      </w:r>
    </w:p>
    <w:p w:rsidR="00185DE9" w:rsidRDefault="00185DE9" w:rsidP="00185DE9">
      <w:pPr>
        <w:ind w:left="360"/>
      </w:pPr>
      <w:r w:rsidRPr="00DB07CF">
        <w:rPr>
          <w:noProof/>
        </w:rPr>
        <w:drawing>
          <wp:inline distT="0" distB="0" distL="0" distR="0">
            <wp:extent cx="3675380" cy="3917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5380" cy="391795"/>
                    </a:xfrm>
                    <a:prstGeom prst="rect">
                      <a:avLst/>
                    </a:prstGeom>
                    <a:noFill/>
                    <a:ln>
                      <a:noFill/>
                    </a:ln>
                  </pic:spPr>
                </pic:pic>
              </a:graphicData>
            </a:graphic>
          </wp:inline>
        </w:drawing>
      </w:r>
    </w:p>
    <w:p w:rsidR="00185DE9" w:rsidRPr="00763505" w:rsidRDefault="00185DE9" w:rsidP="00185DE9">
      <w:pPr>
        <w:ind w:left="360"/>
      </w:pPr>
    </w:p>
    <w:p w:rsidR="00185DE9" w:rsidRDefault="00185DE9" w:rsidP="00185DE9">
      <w:pPr>
        <w:pStyle w:val="ListParagraph"/>
        <w:numPr>
          <w:ilvl w:val="1"/>
          <w:numId w:val="10"/>
        </w:numPr>
        <w:rPr>
          <w:rFonts w:ascii="Times New Roman" w:hAnsi="Times New Roman"/>
        </w:rPr>
      </w:pPr>
      <w:r>
        <w:rPr>
          <w:rFonts w:ascii="Times New Roman" w:hAnsi="Times New Roman"/>
        </w:rPr>
        <w:t>Calculate the mean and standard deviation for the differences of sodium intake between the case and control participants.</w:t>
      </w:r>
    </w:p>
    <w:p w:rsidR="00185DE9" w:rsidRDefault="00185DE9" w:rsidP="00185DE9">
      <w:pPr>
        <w:ind w:left="360"/>
      </w:pPr>
      <w:r w:rsidRPr="00DB07CF">
        <w:rPr>
          <w:noProof/>
        </w:rPr>
        <w:drawing>
          <wp:inline distT="0" distB="0" distL="0" distR="0">
            <wp:extent cx="4458970" cy="13417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8970" cy="1341755"/>
                    </a:xfrm>
                    <a:prstGeom prst="rect">
                      <a:avLst/>
                    </a:prstGeom>
                    <a:noFill/>
                    <a:ln>
                      <a:noFill/>
                    </a:ln>
                  </pic:spPr>
                </pic:pic>
              </a:graphicData>
            </a:graphic>
          </wp:inline>
        </w:drawing>
      </w:r>
    </w:p>
    <w:p w:rsidR="00185DE9" w:rsidRPr="00763505" w:rsidRDefault="00185DE9" w:rsidP="00185DE9">
      <w:pPr>
        <w:ind w:left="360"/>
      </w:pPr>
    </w:p>
    <w:p w:rsidR="00185DE9" w:rsidRDefault="00185DE9" w:rsidP="00185DE9">
      <w:pPr>
        <w:pStyle w:val="ListParagraph"/>
        <w:numPr>
          <w:ilvl w:val="1"/>
          <w:numId w:val="10"/>
        </w:numPr>
        <w:rPr>
          <w:rFonts w:ascii="Times New Roman" w:hAnsi="Times New Roman"/>
        </w:rPr>
      </w:pPr>
      <w:r>
        <w:rPr>
          <w:rFonts w:ascii="Times New Roman" w:hAnsi="Times New Roman"/>
        </w:rPr>
        <w:t>Calculate and interpret the t-statistic.  Is there a statistical difference in sodium intake between participants in the case and control groups?</w:t>
      </w:r>
    </w:p>
    <w:p w:rsidR="00185DE9" w:rsidRDefault="00185DE9" w:rsidP="00185DE9">
      <w:pPr>
        <w:pStyle w:val="ListParagraph"/>
        <w:ind w:left="792"/>
        <w:rPr>
          <w:rFonts w:ascii="Times New Roman" w:hAnsi="Times New Roman"/>
        </w:rPr>
      </w:pPr>
      <w:r w:rsidRPr="00DB07CF">
        <w:rPr>
          <w:noProof/>
        </w:rPr>
        <w:drawing>
          <wp:inline distT="0" distB="0" distL="0" distR="0">
            <wp:extent cx="6400800" cy="9593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959360"/>
                    </a:xfrm>
                    <a:prstGeom prst="rect">
                      <a:avLst/>
                    </a:prstGeom>
                    <a:noFill/>
                    <a:ln>
                      <a:noFill/>
                    </a:ln>
                  </pic:spPr>
                </pic:pic>
              </a:graphicData>
            </a:graphic>
          </wp:inline>
        </w:drawing>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0"/>
          <w:numId w:val="10"/>
        </w:numPr>
        <w:rPr>
          <w:rFonts w:ascii="Times New Roman" w:hAnsi="Times New Roman"/>
        </w:rPr>
      </w:pPr>
      <w:r>
        <w:rPr>
          <w:rFonts w:ascii="Times New Roman" w:hAnsi="Times New Roman"/>
        </w:rPr>
        <w:t>Days in Range</w:t>
      </w:r>
    </w:p>
    <w:p w:rsidR="00185DE9" w:rsidRPr="006D0555" w:rsidRDefault="00185DE9" w:rsidP="00185DE9">
      <w:pPr>
        <w:pStyle w:val="ListParagraph"/>
        <w:ind w:left="360"/>
        <w:rPr>
          <w:rFonts w:ascii="Times New Roman" w:eastAsia="BatangChe" w:hAnsi="Times New Roman"/>
          <w:szCs w:val="24"/>
        </w:rPr>
      </w:pPr>
    </w:p>
    <w:p w:rsidR="00185DE9" w:rsidRDefault="00185DE9" w:rsidP="00185DE9">
      <w:pPr>
        <w:pStyle w:val="ListParagraph"/>
        <w:numPr>
          <w:ilvl w:val="1"/>
          <w:numId w:val="10"/>
        </w:numPr>
        <w:rPr>
          <w:rFonts w:ascii="Times New Roman" w:hAnsi="Times New Roman"/>
        </w:rPr>
      </w:pPr>
      <w:r>
        <w:rPr>
          <w:rFonts w:ascii="Times New Roman" w:hAnsi="Times New Roman"/>
        </w:rPr>
        <w:t xml:space="preserve">Plot the observation data. </w:t>
      </w:r>
      <w:r w:rsidRPr="00D8486E">
        <w:rPr>
          <w:rFonts w:ascii="Times New Roman" w:hAnsi="Times New Roman"/>
        </w:rPr>
        <w:t xml:space="preserve">Calculate </w:t>
      </w:r>
      <w:r>
        <w:rPr>
          <w:rFonts w:ascii="Times New Roman" w:hAnsi="Times New Roman"/>
        </w:rPr>
        <w:t xml:space="preserve">the days on which the patient crossed control limits. </w:t>
      </w:r>
    </w:p>
    <w:p w:rsidR="00185DE9" w:rsidRDefault="00185DE9" w:rsidP="00185DE9">
      <w:pPr>
        <w:pStyle w:val="ListParagraph"/>
        <w:ind w:left="792"/>
        <w:rPr>
          <w:rFonts w:ascii="Times New Roman" w:hAnsi="Times New Roman"/>
        </w:rPr>
      </w:pPr>
      <w:r w:rsidRPr="007A74AD">
        <w:rPr>
          <w:noProof/>
        </w:rPr>
        <w:drawing>
          <wp:anchor distT="0" distB="0" distL="114300" distR="114300" simplePos="0" relativeHeight="251670528" behindDoc="1" locked="0" layoutInCell="1" allowOverlap="1">
            <wp:simplePos x="0" y="0"/>
            <wp:positionH relativeFrom="column">
              <wp:posOffset>501650</wp:posOffset>
            </wp:positionH>
            <wp:positionV relativeFrom="paragraph">
              <wp:posOffset>95885</wp:posOffset>
            </wp:positionV>
            <wp:extent cx="5741670" cy="2433955"/>
            <wp:effectExtent l="0" t="0" r="0" b="0"/>
            <wp:wrapTight wrapText="bothSides">
              <wp:wrapPolygon edited="0">
                <wp:start x="0" y="0"/>
                <wp:lineTo x="0" y="21470"/>
                <wp:lineTo x="21500" y="21470"/>
                <wp:lineTo x="2150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583" r="26973" b="32866"/>
                    <a:stretch/>
                  </pic:blipFill>
                  <pic:spPr bwMode="auto">
                    <a:xfrm>
                      <a:off x="0" y="0"/>
                      <a:ext cx="5741670" cy="243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5DE9" w:rsidRDefault="00185DE9" w:rsidP="00185DE9">
      <w:pPr>
        <w:pStyle w:val="ListParagraph"/>
        <w:ind w:left="792"/>
        <w:rPr>
          <w:rFonts w:ascii="Times New Roman" w:hAnsi="Times New Roman"/>
        </w:rPr>
      </w:pPr>
    </w:p>
    <w:p w:rsidR="00185DE9" w:rsidRDefault="00185DE9" w:rsidP="00185DE9">
      <w:pPr>
        <w:pStyle w:val="ListParagraph"/>
        <w:ind w:left="810"/>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pStyle w:val="ListParagraph"/>
        <w:ind w:left="792"/>
        <w:rPr>
          <w:rFonts w:ascii="Times New Roman" w:hAnsi="Times New Roman"/>
        </w:rPr>
      </w:pPr>
    </w:p>
    <w:p w:rsidR="00185DE9" w:rsidRDefault="00185DE9" w:rsidP="00185DE9">
      <w:pPr>
        <w:spacing w:after="200" w:line="276" w:lineRule="auto"/>
      </w:pPr>
      <w:r>
        <w:br w:type="page"/>
      </w:r>
    </w:p>
    <w:p w:rsidR="00185DE9" w:rsidRPr="006D0555" w:rsidRDefault="00185DE9" w:rsidP="00185DE9">
      <w:pPr>
        <w:ind w:left="360"/>
      </w:pPr>
    </w:p>
    <w:p w:rsidR="00185DE9" w:rsidRDefault="00185DE9" w:rsidP="00185DE9">
      <w:pPr>
        <w:pStyle w:val="ListParagraph"/>
        <w:numPr>
          <w:ilvl w:val="1"/>
          <w:numId w:val="10"/>
        </w:numPr>
        <w:rPr>
          <w:rFonts w:ascii="Times New Roman" w:hAnsi="Times New Roman"/>
        </w:rPr>
      </w:pPr>
      <w:r>
        <w:rPr>
          <w:rFonts w:ascii="Times New Roman" w:hAnsi="Times New Roman"/>
        </w:rPr>
        <w:t xml:space="preserve">Calculate the number of days the patient was in therapeutic range. </w:t>
      </w:r>
    </w:p>
    <w:p w:rsidR="00185DE9" w:rsidRDefault="00185DE9" w:rsidP="00185DE9">
      <w:pPr>
        <w:pStyle w:val="ListParagraph"/>
        <w:ind w:left="792"/>
        <w:rPr>
          <w:rFonts w:ascii="Times New Roman" w:hAnsi="Times New Roman"/>
        </w:rPr>
      </w:pPr>
      <w:r w:rsidRPr="00DD2551">
        <w:rPr>
          <w:noProof/>
        </w:rPr>
        <w:drawing>
          <wp:anchor distT="0" distB="0" distL="114300" distR="114300" simplePos="0" relativeHeight="251669504" behindDoc="1" locked="0" layoutInCell="1" allowOverlap="1">
            <wp:simplePos x="0" y="0"/>
            <wp:positionH relativeFrom="column">
              <wp:posOffset>501650</wp:posOffset>
            </wp:positionH>
            <wp:positionV relativeFrom="paragraph">
              <wp:posOffset>80645</wp:posOffset>
            </wp:positionV>
            <wp:extent cx="5690870" cy="2820035"/>
            <wp:effectExtent l="0" t="0" r="0" b="0"/>
            <wp:wrapTight wrapText="bothSides">
              <wp:wrapPolygon edited="0">
                <wp:start x="0" y="0"/>
                <wp:lineTo x="0" y="21449"/>
                <wp:lineTo x="21547" y="21449"/>
                <wp:lineTo x="2154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61" r="32068" b="28073"/>
                    <a:stretch/>
                  </pic:blipFill>
                  <pic:spPr bwMode="auto">
                    <a:xfrm>
                      <a:off x="0" y="0"/>
                      <a:ext cx="5690870" cy="2820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5DE9" w:rsidRDefault="00185DE9" w:rsidP="00185DE9">
      <w:pPr>
        <w:pStyle w:val="ListParagraph"/>
        <w:ind w:left="792"/>
        <w:rPr>
          <w:rFonts w:ascii="Times New Roman" w:hAnsi="Times New Roman"/>
        </w:rPr>
      </w:pPr>
    </w:p>
    <w:p w:rsidR="00185DE9" w:rsidRDefault="00185DE9" w:rsidP="00185DE9">
      <w:pPr>
        <w:pStyle w:val="ListParagraph"/>
        <w:numPr>
          <w:ilvl w:val="1"/>
          <w:numId w:val="10"/>
        </w:numPr>
        <w:rPr>
          <w:rFonts w:ascii="Times New Roman" w:hAnsi="Times New Roman"/>
        </w:rPr>
      </w:pPr>
      <w:r>
        <w:rPr>
          <w:rFonts w:ascii="Times New Roman" w:hAnsi="Times New Roman"/>
        </w:rPr>
        <w:t xml:space="preserve">Calculate the unknown days, and the percentage of days in range. </w:t>
      </w:r>
    </w:p>
    <w:p w:rsidR="00185DE9" w:rsidRDefault="00185DE9" w:rsidP="00185DE9">
      <w:pPr>
        <w:pStyle w:val="ListParagraph"/>
        <w:ind w:left="360"/>
        <w:rPr>
          <w:rFonts w:ascii="Times New Roman" w:hAnsi="Times New Roman"/>
        </w:rPr>
      </w:pPr>
      <w:r>
        <w:rPr>
          <w:noProof/>
        </w:rPr>
        <w:drawing>
          <wp:anchor distT="0" distB="0" distL="114300" distR="114300" simplePos="0" relativeHeight="251671552" behindDoc="1" locked="0" layoutInCell="1" allowOverlap="1">
            <wp:simplePos x="0" y="0"/>
            <wp:positionH relativeFrom="column">
              <wp:posOffset>501650</wp:posOffset>
            </wp:positionH>
            <wp:positionV relativeFrom="paragraph">
              <wp:posOffset>35560</wp:posOffset>
            </wp:positionV>
            <wp:extent cx="5796280" cy="4244975"/>
            <wp:effectExtent l="0" t="0" r="0" b="0"/>
            <wp:wrapTight wrapText="bothSides">
              <wp:wrapPolygon edited="0">
                <wp:start x="0" y="0"/>
                <wp:lineTo x="0" y="21519"/>
                <wp:lineTo x="21510" y="21519"/>
                <wp:lineTo x="2151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582" r="40260" b="12408"/>
                    <a:stretch/>
                  </pic:blipFill>
                  <pic:spPr bwMode="auto">
                    <a:xfrm>
                      <a:off x="0" y="0"/>
                      <a:ext cx="5796280" cy="4244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Default="00185DE9" w:rsidP="00185DE9">
      <w:pPr>
        <w:spacing w:after="200" w:line="276" w:lineRule="auto"/>
      </w:pPr>
      <w:r>
        <w:br w:type="page"/>
      </w:r>
    </w:p>
    <w:p w:rsidR="00185DE9" w:rsidRDefault="00185DE9" w:rsidP="00185DE9">
      <w:pPr>
        <w:pStyle w:val="ListParagraph"/>
        <w:numPr>
          <w:ilvl w:val="0"/>
          <w:numId w:val="10"/>
        </w:numPr>
        <w:rPr>
          <w:rFonts w:ascii="Times New Roman" w:hAnsi="Times New Roman"/>
        </w:rPr>
      </w:pPr>
      <w:r>
        <w:rPr>
          <w:rFonts w:ascii="Times New Roman" w:hAnsi="Times New Roman"/>
        </w:rPr>
        <w:t xml:space="preserve">Odds Ratio for Cases and Controls </w:t>
      </w:r>
    </w:p>
    <w:p w:rsidR="00185DE9" w:rsidRDefault="00185DE9" w:rsidP="00185DE9">
      <w:pPr>
        <w:pStyle w:val="ListParagraph"/>
        <w:ind w:left="360"/>
        <w:rPr>
          <w:rFonts w:ascii="Times New Roman" w:hAnsi="Times New Roman"/>
        </w:rPr>
      </w:pPr>
    </w:p>
    <w:p w:rsidR="00185DE9" w:rsidRDefault="00185DE9" w:rsidP="00185DE9">
      <w:pPr>
        <w:pStyle w:val="ListParagraph"/>
        <w:numPr>
          <w:ilvl w:val="1"/>
          <w:numId w:val="10"/>
        </w:numPr>
        <w:rPr>
          <w:rFonts w:ascii="Times New Roman" w:hAnsi="Times New Roman"/>
        </w:rPr>
      </w:pPr>
      <w:r>
        <w:rPr>
          <w:rFonts w:ascii="Times New Roman" w:hAnsi="Times New Roman"/>
        </w:rPr>
        <w:t>Complete the following Odds Ratio Table.</w:t>
      </w:r>
    </w:p>
    <w:tbl>
      <w:tblPr>
        <w:tblStyle w:val="TableGrid"/>
        <w:tblW w:w="3162" w:type="dxa"/>
        <w:tblInd w:w="1098" w:type="dxa"/>
        <w:tblLook w:val="04A0"/>
      </w:tblPr>
      <w:tblGrid>
        <w:gridCol w:w="1023"/>
        <w:gridCol w:w="1047"/>
        <w:gridCol w:w="1092"/>
      </w:tblGrid>
      <w:tr w:rsidR="00185DE9" w:rsidTr="00190400">
        <w:tc>
          <w:tcPr>
            <w:tcW w:w="1023" w:type="dxa"/>
          </w:tcPr>
          <w:p w:rsidR="00185DE9" w:rsidRDefault="00185DE9" w:rsidP="00190400">
            <w:pPr>
              <w:jc w:val="center"/>
            </w:pPr>
            <w:r w:rsidRPr="00C249DB">
              <w:rPr>
                <w:rFonts w:cs="Arial"/>
                <w:bCs/>
                <w:color w:val="000000"/>
                <w:szCs w:val="22"/>
              </w:rPr>
              <w:t>Outcome</w:t>
            </w:r>
          </w:p>
        </w:tc>
        <w:tc>
          <w:tcPr>
            <w:tcW w:w="1047" w:type="dxa"/>
          </w:tcPr>
          <w:p w:rsidR="00185DE9" w:rsidRDefault="00185DE9" w:rsidP="00190400">
            <w:pPr>
              <w:jc w:val="center"/>
            </w:pPr>
            <w:r w:rsidRPr="00C249DB">
              <w:rPr>
                <w:rFonts w:cs="Arial"/>
                <w:bCs/>
                <w:color w:val="000000"/>
                <w:szCs w:val="22"/>
              </w:rPr>
              <w:t>Cases</w:t>
            </w:r>
          </w:p>
        </w:tc>
        <w:tc>
          <w:tcPr>
            <w:tcW w:w="1092" w:type="dxa"/>
          </w:tcPr>
          <w:p w:rsidR="00185DE9" w:rsidRDefault="00185DE9" w:rsidP="00190400">
            <w:pPr>
              <w:jc w:val="center"/>
            </w:pPr>
            <w:r w:rsidRPr="00C249DB">
              <w:rPr>
                <w:rFonts w:cs="Arial"/>
                <w:bCs/>
                <w:color w:val="000000"/>
                <w:szCs w:val="22"/>
              </w:rPr>
              <w:t>Controls</w:t>
            </w:r>
          </w:p>
        </w:tc>
      </w:tr>
      <w:tr w:rsidR="00185DE9" w:rsidTr="00190400">
        <w:tc>
          <w:tcPr>
            <w:tcW w:w="1023" w:type="dxa"/>
          </w:tcPr>
          <w:p w:rsidR="00185DE9" w:rsidRDefault="00185DE9" w:rsidP="00190400">
            <w:pPr>
              <w:jc w:val="right"/>
            </w:pPr>
            <w:proofErr w:type="spellStart"/>
            <w:r>
              <w:rPr>
                <w:rFonts w:cs="Arial"/>
                <w:bCs/>
                <w:color w:val="000000"/>
                <w:szCs w:val="22"/>
              </w:rPr>
              <w:t>PSA</w:t>
            </w:r>
            <w:proofErr w:type="spellEnd"/>
            <w:r>
              <w:rPr>
                <w:rFonts w:cs="Arial"/>
                <w:bCs/>
                <w:color w:val="000000"/>
                <w:szCs w:val="22"/>
              </w:rPr>
              <w:t>&gt;10</w:t>
            </w:r>
          </w:p>
        </w:tc>
        <w:tc>
          <w:tcPr>
            <w:tcW w:w="1047" w:type="dxa"/>
          </w:tcPr>
          <w:p w:rsidR="00185DE9" w:rsidRDefault="00185DE9" w:rsidP="00190400">
            <w:pPr>
              <w:jc w:val="center"/>
            </w:pPr>
            <w:r>
              <w:t>2</w:t>
            </w:r>
          </w:p>
        </w:tc>
        <w:tc>
          <w:tcPr>
            <w:tcW w:w="1092" w:type="dxa"/>
          </w:tcPr>
          <w:p w:rsidR="00185DE9" w:rsidRDefault="00185DE9" w:rsidP="00190400">
            <w:pPr>
              <w:jc w:val="center"/>
            </w:pPr>
            <w:r>
              <w:t>6</w:t>
            </w:r>
          </w:p>
        </w:tc>
      </w:tr>
      <w:tr w:rsidR="00185DE9" w:rsidTr="00190400">
        <w:tc>
          <w:tcPr>
            <w:tcW w:w="1023" w:type="dxa"/>
          </w:tcPr>
          <w:p w:rsidR="00185DE9" w:rsidRDefault="00185DE9" w:rsidP="00190400">
            <w:pPr>
              <w:jc w:val="right"/>
            </w:pPr>
            <w:proofErr w:type="spellStart"/>
            <w:r>
              <w:rPr>
                <w:rFonts w:cs="Arial"/>
                <w:bCs/>
                <w:color w:val="000000"/>
                <w:szCs w:val="22"/>
              </w:rPr>
              <w:t>PSA</w:t>
            </w:r>
            <w:proofErr w:type="spellEnd"/>
            <w:r>
              <w:rPr>
                <w:rFonts w:cs="Arial"/>
                <w:bCs/>
                <w:color w:val="000000"/>
                <w:szCs w:val="22"/>
              </w:rPr>
              <w:t>&lt;10</w:t>
            </w:r>
          </w:p>
        </w:tc>
        <w:tc>
          <w:tcPr>
            <w:tcW w:w="1047" w:type="dxa"/>
          </w:tcPr>
          <w:p w:rsidR="00185DE9" w:rsidRDefault="00185DE9" w:rsidP="00190400">
            <w:pPr>
              <w:jc w:val="center"/>
            </w:pPr>
            <w:r>
              <w:t>3</w:t>
            </w:r>
          </w:p>
        </w:tc>
        <w:tc>
          <w:tcPr>
            <w:tcW w:w="1092" w:type="dxa"/>
          </w:tcPr>
          <w:p w:rsidR="00185DE9" w:rsidRDefault="00185DE9" w:rsidP="00190400">
            <w:pPr>
              <w:jc w:val="center"/>
            </w:pPr>
            <w:r>
              <w:t>4</w:t>
            </w:r>
          </w:p>
        </w:tc>
      </w:tr>
      <w:tr w:rsidR="00185DE9" w:rsidTr="00190400">
        <w:tc>
          <w:tcPr>
            <w:tcW w:w="1023" w:type="dxa"/>
          </w:tcPr>
          <w:p w:rsidR="00185DE9" w:rsidRDefault="00185DE9" w:rsidP="00190400">
            <w:r w:rsidRPr="00C249DB">
              <w:rPr>
                <w:rFonts w:cs="Arial"/>
                <w:bCs/>
                <w:color w:val="000000"/>
                <w:szCs w:val="22"/>
              </w:rPr>
              <w:t>Total</w:t>
            </w:r>
          </w:p>
        </w:tc>
        <w:tc>
          <w:tcPr>
            <w:tcW w:w="1047" w:type="dxa"/>
          </w:tcPr>
          <w:p w:rsidR="00185DE9" w:rsidRDefault="00185DE9" w:rsidP="00190400">
            <w:pPr>
              <w:jc w:val="center"/>
            </w:pPr>
            <w:r>
              <w:t>5</w:t>
            </w:r>
          </w:p>
        </w:tc>
        <w:tc>
          <w:tcPr>
            <w:tcW w:w="1092" w:type="dxa"/>
          </w:tcPr>
          <w:p w:rsidR="00185DE9" w:rsidRDefault="00185DE9" w:rsidP="00190400">
            <w:pPr>
              <w:jc w:val="center"/>
            </w:pPr>
            <w:r>
              <w:t>10</w:t>
            </w:r>
          </w:p>
        </w:tc>
      </w:tr>
    </w:tbl>
    <w:p w:rsidR="00185DE9" w:rsidRDefault="00185DE9" w:rsidP="00185DE9">
      <w:pPr>
        <w:pStyle w:val="ListParagraph"/>
        <w:ind w:left="360"/>
        <w:rPr>
          <w:rFonts w:ascii="Times New Roman" w:hAnsi="Times New Roman"/>
        </w:rPr>
      </w:pPr>
    </w:p>
    <w:p w:rsidR="00185DE9" w:rsidRPr="006D0555" w:rsidRDefault="00185DE9" w:rsidP="00185DE9">
      <w:pPr>
        <w:ind w:left="810" w:hanging="450"/>
      </w:pPr>
      <w:r>
        <w:t>4.2</w:t>
      </w:r>
      <w:r>
        <w:tab/>
      </w:r>
      <w:r w:rsidRPr="006D0555">
        <w:t xml:space="preserve">What are the odds of having a relapse among Case patients?  </w:t>
      </w:r>
      <w:proofErr w:type="gramStart"/>
      <w:r w:rsidRPr="006D0555">
        <w:t>Among Control Patients?</w:t>
      </w:r>
      <w:proofErr w:type="gramEnd"/>
    </w:p>
    <w:p w:rsidR="00185DE9" w:rsidRDefault="00185DE9" w:rsidP="00185DE9"/>
    <w:p w:rsidR="00185DE9" w:rsidRPr="00D7645E" w:rsidRDefault="00185DE9" w:rsidP="00185DE9">
      <w:pPr>
        <w:jc w:val="center"/>
      </w:pPr>
      <m:oMathPara>
        <m:oMath>
          <m:r>
            <m:rPr>
              <m:sty m:val="p"/>
            </m:rPr>
            <w:rPr>
              <w:rFonts w:ascii="Cambria Math" w:hAnsi="Cambria Math"/>
            </w:rPr>
            <m:t>Probability of Outcome in Cases=</m:t>
          </m:r>
          <m:f>
            <m:fPr>
              <m:ctrlPr>
                <w:rPr>
                  <w:rFonts w:ascii="Cambria Math" w:eastAsia="Calibri" w:hAnsi="Cambria Math"/>
                  <w:sz w:val="22"/>
                  <w:szCs w:val="22"/>
                </w:rPr>
              </m:ctrlPr>
            </m:fPr>
            <m:num>
              <m:sSub>
                <m:sSubPr>
                  <m:ctrlPr>
                    <w:rPr>
                      <w:rFonts w:ascii="Cambria Math" w:hAnsi="Cambria Math"/>
                      <w:i/>
                    </w:rPr>
                  </m:ctrlPr>
                </m:sSubPr>
                <m:e>
                  <m:r>
                    <w:rPr>
                      <w:rFonts w:ascii="Cambria Math" w:hAnsi="Cambria Math"/>
                    </w:rPr>
                    <m:t>n</m:t>
                  </m:r>
                </m:e>
                <m:sub>
                  <m:r>
                    <w:rPr>
                      <w:rFonts w:ascii="Cambria Math" w:hAnsi="Cambria Math"/>
                    </w:rPr>
                    <m:t>case,+</m:t>
                  </m:r>
                </m:sub>
              </m:sSub>
            </m:num>
            <m:den>
              <m:sSub>
                <m:sSubPr>
                  <m:ctrlPr>
                    <w:rPr>
                      <w:rFonts w:ascii="Cambria Math" w:hAnsi="Cambria Math"/>
                      <w:i/>
                    </w:rPr>
                  </m:ctrlPr>
                </m:sSubPr>
                <m:e>
                  <m:r>
                    <w:rPr>
                      <w:rFonts w:ascii="Cambria Math" w:hAnsi="Cambria Math"/>
                    </w:rPr>
                    <m:t>n</m:t>
                  </m:r>
                </m:e>
                <m:sub>
                  <m:r>
                    <w:rPr>
                      <w:rFonts w:ascii="Cambria Math" w:hAnsi="Cambria Math"/>
                    </w:rPr>
                    <m:t>case</m:t>
                  </m:r>
                </m:sub>
              </m:sSub>
            </m:den>
          </m:f>
        </m:oMath>
      </m:oMathPara>
    </w:p>
    <w:p w:rsidR="00185DE9" w:rsidRPr="00D7645E" w:rsidRDefault="00185DE9" w:rsidP="00185DE9">
      <w:pPr>
        <w:jc w:val="center"/>
      </w:pPr>
      <m:oMathPara>
        <m:oMath>
          <m:r>
            <m:rPr>
              <m:sty m:val="p"/>
            </m:rPr>
            <w:rPr>
              <w:rFonts w:ascii="Cambria Math" w:hAnsi="Cambria Math"/>
            </w:rPr>
            <m:t>Probability of Outcome in Controls=</m:t>
          </m:r>
          <m:f>
            <m:fPr>
              <m:ctrlPr>
                <w:rPr>
                  <w:rFonts w:ascii="Cambria Math" w:eastAsia="Calibri" w:hAnsi="Cambria Math"/>
                  <w:sz w:val="22"/>
                  <w:szCs w:val="22"/>
                </w:rPr>
              </m:ctrlPr>
            </m:fPr>
            <m:num>
              <m:sSub>
                <m:sSubPr>
                  <m:ctrlPr>
                    <w:rPr>
                      <w:rFonts w:ascii="Cambria Math" w:hAnsi="Cambria Math"/>
                      <w:i/>
                    </w:rPr>
                  </m:ctrlPr>
                </m:sSubPr>
                <m:e>
                  <m:r>
                    <w:rPr>
                      <w:rFonts w:ascii="Cambria Math" w:hAnsi="Cambria Math"/>
                    </w:rPr>
                    <m:t>n</m:t>
                  </m:r>
                </m:e>
                <m:sub>
                  <m:r>
                    <w:rPr>
                      <w:rFonts w:ascii="Cambria Math" w:hAnsi="Cambria Math"/>
                    </w:rPr>
                    <m:t>control,+</m:t>
                  </m:r>
                </m:sub>
              </m:sSub>
            </m:num>
            <m:den>
              <m:sSub>
                <m:sSubPr>
                  <m:ctrlPr>
                    <w:rPr>
                      <w:rFonts w:ascii="Cambria Math" w:hAnsi="Cambria Math"/>
                      <w:i/>
                    </w:rPr>
                  </m:ctrlPr>
                </m:sSubPr>
                <m:e>
                  <m:r>
                    <w:rPr>
                      <w:rFonts w:ascii="Cambria Math" w:hAnsi="Cambria Math"/>
                    </w:rPr>
                    <m:t>n</m:t>
                  </m:r>
                </m:e>
                <m:sub>
                  <m:r>
                    <w:rPr>
                      <w:rFonts w:ascii="Cambria Math" w:hAnsi="Cambria Math"/>
                    </w:rPr>
                    <m:t>control</m:t>
                  </m:r>
                </m:sub>
              </m:sSub>
            </m:den>
          </m:f>
        </m:oMath>
      </m:oMathPara>
    </w:p>
    <w:p w:rsidR="00185DE9" w:rsidRPr="006D0555" w:rsidRDefault="00185DE9" w:rsidP="00185DE9"/>
    <w:p w:rsidR="00185DE9" w:rsidRPr="006D0555" w:rsidRDefault="00185DE9" w:rsidP="00185DE9">
      <w:pPr>
        <w:pStyle w:val="ListParagraph"/>
        <w:numPr>
          <w:ilvl w:val="1"/>
          <w:numId w:val="10"/>
        </w:numPr>
        <w:rPr>
          <w:rFonts w:ascii="Times New Roman" w:hAnsi="Times New Roman"/>
        </w:rPr>
      </w:pPr>
      <w:r w:rsidRPr="006D0555">
        <w:rPr>
          <w:rFonts w:ascii="Times New Roman" w:hAnsi="Times New Roman"/>
        </w:rPr>
        <w:t>Calculate a) the L Statistic, b) the Standard Deviation for L.</w:t>
      </w:r>
    </w:p>
    <w:p w:rsidR="00185DE9" w:rsidRPr="006D0555" w:rsidRDefault="00185DE9" w:rsidP="00185DE9">
      <w:pPr>
        <w:pStyle w:val="Default"/>
        <w:numPr>
          <w:ilvl w:val="0"/>
          <w:numId w:val="13"/>
        </w:numPr>
        <w:spacing w:after="120" w:line="276" w:lineRule="auto"/>
        <w:rPr>
          <w:rFonts w:ascii="Times New Roman" w:hAnsi="Times New Roman" w:cs="Times New Roman"/>
        </w:rPr>
      </w:pPr>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case,+</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control,-</m:t>
                </m:r>
              </m:sub>
            </m:sSub>
          </m:num>
          <m:den>
            <m:sSub>
              <m:sSubPr>
                <m:ctrlPr>
                  <w:rPr>
                    <w:rFonts w:ascii="Cambria Math" w:hAnsi="Cambria Math"/>
                    <w:i/>
                  </w:rPr>
                </m:ctrlPr>
              </m:sSubPr>
              <m:e>
                <m:r>
                  <w:rPr>
                    <w:rFonts w:ascii="Cambria Math" w:hAnsi="Cambria Math"/>
                  </w:rPr>
                  <m:t>n</m:t>
                </m:r>
              </m:e>
              <m:sub>
                <m:r>
                  <w:rPr>
                    <w:rFonts w:ascii="Cambria Math" w:hAnsi="Cambria Math"/>
                  </w:rPr>
                  <m:t>control, +</m:t>
                </m:r>
              </m:sub>
            </m:sSub>
            <m:sSub>
              <m:sSubPr>
                <m:ctrlPr>
                  <w:rPr>
                    <w:rFonts w:ascii="Cambria Math" w:hAnsi="Cambria Math"/>
                    <w:i/>
                  </w:rPr>
                </m:ctrlPr>
              </m:sSubPr>
              <m:e>
                <m:r>
                  <w:rPr>
                    <w:rFonts w:ascii="Cambria Math" w:hAnsi="Cambria Math"/>
                  </w:rPr>
                  <m:t>n</m:t>
                </m:r>
              </m:e>
              <m:sub>
                <m:r>
                  <w:rPr>
                    <w:rFonts w:ascii="Cambria Math" w:hAnsi="Cambria Math"/>
                  </w:rPr>
                  <m:t>case, -</m:t>
                </m:r>
              </m:sub>
            </m:sSub>
          </m:den>
        </m:f>
      </m:oMath>
      <w:r>
        <w:rPr>
          <w:rFonts w:ascii="Times New Roman" w:hAnsi="Times New Roman" w:cs="Times New Roman"/>
        </w:rPr>
        <w:t xml:space="preserve"> = (2*4)/(6*3) = 0.44</w:t>
      </w:r>
    </w:p>
    <w:p w:rsidR="00185DE9" w:rsidRPr="00C249DB" w:rsidRDefault="00185DE9" w:rsidP="00185DE9">
      <w:pPr>
        <w:pStyle w:val="Default"/>
        <w:numPr>
          <w:ilvl w:val="0"/>
          <w:numId w:val="13"/>
        </w:numPr>
        <w:spacing w:after="120" w:line="276" w:lineRule="auto"/>
        <w:rPr>
          <w:rFonts w:ascii="Times New Roman" w:hAnsi="Times New Roman" w:cs="Times New Roman"/>
        </w:rPr>
      </w:pPr>
      <m:oMath>
        <m:r>
          <w:rPr>
            <w:rFonts w:ascii="Cambria Math" w:hAnsi="Cambria Math"/>
          </w:rPr>
          <m:t>σ=</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m:t>
                    </m:r>
                  </m:sub>
                </m:sSub>
                <m:r>
                  <w:rPr>
                    <w:rFonts w:ascii="Cambria Math" w:hAnsi="Cambria Math"/>
                  </w:rPr>
                  <m:t>σ</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e>
        </m:rad>
      </m:oMath>
      <w:r>
        <w:rPr>
          <w:rFonts w:ascii="Times New Roman" w:hAnsi="Times New Roman" w:cs="Times New Roman"/>
        </w:rPr>
        <w:t xml:space="preserve"> = </w:t>
      </w:r>
      <m:oMath>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4</m:t>
                </m:r>
              </m:den>
            </m:f>
          </m:e>
        </m:rad>
      </m:oMath>
      <w:r>
        <w:rPr>
          <w:rFonts w:ascii="Times New Roman" w:hAnsi="Times New Roman" w:cs="Times New Roman"/>
        </w:rPr>
        <w:t xml:space="preserve"> = 1.1</w:t>
      </w:r>
    </w:p>
    <w:p w:rsidR="00185DE9" w:rsidRPr="006D0555" w:rsidRDefault="00185DE9" w:rsidP="00185DE9"/>
    <w:p w:rsidR="00185DE9" w:rsidRPr="006D0555" w:rsidRDefault="00185DE9" w:rsidP="00185DE9">
      <w:pPr>
        <w:ind w:left="810" w:hanging="450"/>
      </w:pPr>
      <w:r>
        <w:t xml:space="preserve">4.3 </w:t>
      </w:r>
      <w:r>
        <w:tab/>
      </w:r>
      <w:r w:rsidRPr="006D0555">
        <w:t xml:space="preserve">Calculate a 95% confidence interface for </w:t>
      </w:r>
      <w:proofErr w:type="gramStart"/>
      <w:r w:rsidRPr="006D0555">
        <w:t>L</w:t>
      </w:r>
      <w:r>
        <w:t>.</w:t>
      </w:r>
      <w:r w:rsidRPr="006D0555">
        <w:t>.</w:t>
      </w:r>
      <w:proofErr w:type="gramEnd"/>
      <w:r w:rsidRPr="006D0555">
        <w:t xml:space="preserve"> </w:t>
      </w:r>
    </w:p>
    <w:p w:rsidR="00185DE9" w:rsidRPr="00C249DB" w:rsidRDefault="00185DE9" w:rsidP="00185DE9">
      <w:pPr>
        <w:pStyle w:val="ListParagraph"/>
        <w:spacing w:after="0"/>
        <w:ind w:left="792"/>
        <w:rPr>
          <w:rFonts w:ascii="Times New Roman" w:hAnsi="Times New Roman"/>
        </w:rPr>
      </w:pPr>
      <w:r w:rsidRPr="00C249DB">
        <w:rPr>
          <w:rFonts w:ascii="Times New Roman" w:hAnsi="Times New Roman"/>
        </w:rPr>
        <w:t xml:space="preserve"> </w:t>
      </w:r>
    </w:p>
    <w:p w:rsidR="00185DE9" w:rsidRPr="006D0555" w:rsidRDefault="00185DE9" w:rsidP="00185DE9">
      <w:pPr>
        <w:ind w:left="810"/>
      </w:pPr>
      <m:oMathPara>
        <m:oMathParaPr>
          <m:jc m:val="left"/>
        </m:oMathParaPr>
        <m:oMath>
          <m:r>
            <m:rPr>
              <m:sty m:val="p"/>
            </m:rPr>
            <w:rPr>
              <w:rFonts w:ascii="Cambria Math" w:hAnsi="Cambria Math"/>
            </w:rPr>
            <m:t xml:space="preserve">L ± 1.96 </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Control, -</m:t>
                      </m:r>
                    </m:sub>
                  </m:sSub>
                </m:den>
              </m:f>
            </m:e>
          </m:rad>
        </m:oMath>
      </m:oMathPara>
    </w:p>
    <w:p w:rsidR="00185DE9" w:rsidRPr="006D0555" w:rsidRDefault="00185DE9" w:rsidP="00185DE9"/>
    <w:p w:rsidR="00185DE9" w:rsidRDefault="00185DE9" w:rsidP="00185DE9">
      <w:pPr>
        <w:ind w:left="810"/>
      </w:pPr>
      <m:oMath>
        <m:r>
          <m:rPr>
            <m:sty m:val="p"/>
          </m:rPr>
          <w:rPr>
            <w:rFonts w:ascii="Cambria Math" w:hAnsi="Cambria Math"/>
          </w:rPr>
          <m:t xml:space="preserve">= 0.44 ±(1.96*1.1) </m:t>
        </m:r>
      </m:oMath>
      <w:r>
        <w:t>= (1.7, 2.6)</w:t>
      </w:r>
    </w:p>
    <w:p w:rsidR="00185DE9" w:rsidRDefault="00185DE9" w:rsidP="00185DE9">
      <w:pPr>
        <w:ind w:left="810"/>
      </w:pPr>
    </w:p>
    <w:p w:rsidR="00185DE9" w:rsidRPr="006D0555" w:rsidRDefault="00185DE9" w:rsidP="00185DE9">
      <w:pPr>
        <w:ind w:left="810"/>
      </w:pPr>
      <w:r>
        <w:br w:type="page"/>
      </w:r>
      <w:r w:rsidRPr="006D0555">
        <w:t>Kaplan Meier Survival Graph</w:t>
      </w:r>
    </w:p>
    <w:p w:rsidR="00185DE9" w:rsidRPr="006D0555" w:rsidRDefault="00185DE9" w:rsidP="00185DE9"/>
    <w:p w:rsidR="00185DE9" w:rsidRDefault="00185DE9" w:rsidP="00185DE9">
      <w:pPr>
        <w:pStyle w:val="ListParagraph"/>
        <w:numPr>
          <w:ilvl w:val="1"/>
          <w:numId w:val="12"/>
        </w:numPr>
        <w:rPr>
          <w:rFonts w:ascii="Times New Roman" w:hAnsi="Times New Roman"/>
        </w:rPr>
      </w:pPr>
      <w:r>
        <w:rPr>
          <w:rFonts w:ascii="Times New Roman" w:hAnsi="Times New Roman"/>
        </w:rPr>
        <w:t xml:space="preserve">Complete the table below for Control patients. </w:t>
      </w:r>
    </w:p>
    <w:p w:rsidR="00185DE9" w:rsidRDefault="00185DE9" w:rsidP="00185DE9">
      <w:pPr>
        <w:pStyle w:val="ListParagraph"/>
        <w:ind w:left="360"/>
        <w:rPr>
          <w:rFonts w:ascii="Times New Roman" w:hAnsi="Times New Roman"/>
        </w:rPr>
      </w:pPr>
      <w:r w:rsidRPr="00E7530F">
        <w:rPr>
          <w:noProof/>
        </w:rPr>
        <w:drawing>
          <wp:anchor distT="0" distB="0" distL="114300" distR="114300" simplePos="0" relativeHeight="251673600" behindDoc="1" locked="0" layoutInCell="1" allowOverlap="1">
            <wp:simplePos x="0" y="0"/>
            <wp:positionH relativeFrom="column">
              <wp:posOffset>483870</wp:posOffset>
            </wp:positionH>
            <wp:positionV relativeFrom="paragraph">
              <wp:posOffset>109855</wp:posOffset>
            </wp:positionV>
            <wp:extent cx="5450205" cy="2738755"/>
            <wp:effectExtent l="0" t="0" r="0" b="0"/>
            <wp:wrapTight wrapText="bothSides">
              <wp:wrapPolygon edited="0">
                <wp:start x="0" y="0"/>
                <wp:lineTo x="0" y="21485"/>
                <wp:lineTo x="21517" y="21485"/>
                <wp:lineTo x="2151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205" cy="2738755"/>
                    </a:xfrm>
                    <a:prstGeom prst="rect">
                      <a:avLst/>
                    </a:prstGeom>
                    <a:noFill/>
                    <a:ln>
                      <a:noFill/>
                    </a:ln>
                  </pic:spPr>
                </pic:pic>
              </a:graphicData>
            </a:graphic>
          </wp:anchor>
        </w:drawing>
      </w: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Default="00185DE9" w:rsidP="00185DE9">
      <w:pPr>
        <w:pStyle w:val="ListParagraph"/>
        <w:ind w:left="360"/>
        <w:rPr>
          <w:rFonts w:ascii="Times New Roman" w:hAnsi="Times New Roman"/>
        </w:rPr>
      </w:pPr>
    </w:p>
    <w:p w:rsidR="00185DE9" w:rsidRPr="00C249DB" w:rsidRDefault="00185DE9" w:rsidP="00185DE9">
      <w:pPr>
        <w:pStyle w:val="ListParagraph"/>
        <w:numPr>
          <w:ilvl w:val="1"/>
          <w:numId w:val="12"/>
        </w:numPr>
        <w:rPr>
          <w:rFonts w:ascii="Times New Roman" w:hAnsi="Times New Roman"/>
        </w:rPr>
      </w:pPr>
      <w:r>
        <w:rPr>
          <w:rFonts w:ascii="Times New Roman" w:hAnsi="Times New Roman"/>
        </w:rPr>
        <w:t xml:space="preserve">Draw the </w:t>
      </w:r>
      <w:r w:rsidRPr="00C249DB">
        <w:rPr>
          <w:rFonts w:ascii="Times New Roman" w:hAnsi="Times New Roman"/>
        </w:rPr>
        <w:t>Kaplan Meier Survival Graph</w:t>
      </w:r>
    </w:p>
    <w:p w:rsidR="00185DE9" w:rsidRDefault="00185DE9" w:rsidP="00185DE9">
      <w:pPr>
        <w:pStyle w:val="ListParagraph"/>
        <w:ind w:left="792"/>
        <w:rPr>
          <w:rFonts w:ascii="Times New Roman" w:hAnsi="Times New Roman"/>
        </w:rPr>
      </w:pPr>
      <w:r>
        <w:rPr>
          <w:noProof/>
        </w:rPr>
        <w:drawing>
          <wp:anchor distT="0" distB="0" distL="114300" distR="114300" simplePos="0" relativeHeight="251674624" behindDoc="1" locked="0" layoutInCell="1" allowOverlap="1">
            <wp:simplePos x="0" y="0"/>
            <wp:positionH relativeFrom="column">
              <wp:posOffset>4949825</wp:posOffset>
            </wp:positionH>
            <wp:positionV relativeFrom="paragraph">
              <wp:posOffset>2696210</wp:posOffset>
            </wp:positionV>
            <wp:extent cx="1410970" cy="1619885"/>
            <wp:effectExtent l="0" t="0" r="0" b="0"/>
            <wp:wrapTight wrapText="bothSides">
              <wp:wrapPolygon edited="0">
                <wp:start x="0" y="0"/>
                <wp:lineTo x="0" y="21338"/>
                <wp:lineTo x="21289" y="21338"/>
                <wp:lineTo x="2128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50" t="35964" r="37363" b="40539"/>
                    <a:stretch/>
                  </pic:blipFill>
                  <pic:spPr bwMode="auto">
                    <a:xfrm>
                      <a:off x="0" y="0"/>
                      <a:ext cx="1410970" cy="1619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A5505">
        <w:rPr>
          <w:noProof/>
        </w:rPr>
        <w:drawing>
          <wp:inline distT="0" distB="0" distL="0" distR="0">
            <wp:extent cx="4981699" cy="263848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471" cy="2641011"/>
                    </a:xfrm>
                    <a:prstGeom prst="rect">
                      <a:avLst/>
                    </a:prstGeom>
                    <a:noFill/>
                    <a:ln>
                      <a:noFill/>
                    </a:ln>
                  </pic:spPr>
                </pic:pic>
              </a:graphicData>
            </a:graphic>
          </wp:inline>
        </w:drawing>
      </w:r>
    </w:p>
    <w:p w:rsidR="00185DE9" w:rsidRDefault="00185DE9" w:rsidP="00185DE9">
      <w:pPr>
        <w:spacing w:after="200" w:line="276" w:lineRule="auto"/>
        <w:ind w:left="1620" w:hanging="810"/>
      </w:pPr>
      <w:r>
        <w:t xml:space="preserve">Step 1: </w:t>
      </w:r>
      <w:r>
        <w:tab/>
        <w:t xml:space="preserve">Create a table listing the Percent of Patients per month who have never had a     </w:t>
      </w:r>
      <w:proofErr w:type="spellStart"/>
      <w:r>
        <w:t>PSA</w:t>
      </w:r>
      <w:proofErr w:type="spellEnd"/>
      <w:r>
        <w:t xml:space="preserve">&gt;10 </w:t>
      </w:r>
      <w:proofErr w:type="spellStart"/>
      <w:r>
        <w:t>ng</w:t>
      </w:r>
      <w:proofErr w:type="spellEnd"/>
      <w:r>
        <w:t xml:space="preserve">/ml.  </w:t>
      </w:r>
    </w:p>
    <w:p w:rsidR="00185DE9" w:rsidRDefault="00185DE9" w:rsidP="00185DE9">
      <w:pPr>
        <w:spacing w:after="200" w:line="276" w:lineRule="auto"/>
        <w:ind w:left="1620" w:hanging="810"/>
      </w:pPr>
      <w:r>
        <w:t xml:space="preserve">Step 2: Highlight the cells for case and control values, as illustrated at right. </w:t>
      </w:r>
    </w:p>
    <w:p w:rsidR="00185DE9" w:rsidRDefault="00185DE9" w:rsidP="00185DE9">
      <w:pPr>
        <w:spacing w:after="200" w:line="276" w:lineRule="auto"/>
        <w:ind w:left="1620" w:hanging="810"/>
      </w:pPr>
      <w:r>
        <w:t xml:space="preserve">Step 3: In Excel, Choose Insert </w:t>
      </w:r>
      <w:r>
        <w:sym w:font="Wingdings" w:char="F0E0"/>
      </w:r>
      <w:r>
        <w:t xml:space="preserve"> Chart </w:t>
      </w:r>
      <w:r>
        <w:sym w:font="Wingdings" w:char="F0E0"/>
      </w:r>
      <w:r>
        <w:t xml:space="preserve"> Line. Use normal Excel functions to add titles.  </w:t>
      </w:r>
    </w:p>
    <w:p w:rsidR="00185DE9" w:rsidRDefault="00185DE9" w:rsidP="00185DE9">
      <w:pPr>
        <w:spacing w:after="200" w:line="276" w:lineRule="auto"/>
        <w:rPr>
          <w:rFonts w:asciiTheme="majorHAnsi" w:hAnsiTheme="majorHAnsi"/>
          <w:b/>
          <w:color w:val="365F91"/>
          <w:sz w:val="28"/>
          <w:szCs w:val="28"/>
        </w:rPr>
      </w:pPr>
      <w:r w:rsidRPr="00DC14B5">
        <w:rPr>
          <w:rFonts w:asciiTheme="majorHAnsi" w:hAnsiTheme="majorHAnsi"/>
          <w:b/>
          <w:color w:val="365F91"/>
          <w:sz w:val="28"/>
          <w:szCs w:val="28"/>
        </w:rPr>
        <w:t>Appendix</w:t>
      </w:r>
      <w:r>
        <w:rPr>
          <w:rFonts w:asciiTheme="majorHAnsi" w:hAnsiTheme="majorHAnsi"/>
          <w:b/>
          <w:color w:val="365F91"/>
          <w:sz w:val="28"/>
          <w:szCs w:val="28"/>
        </w:rPr>
        <w:t xml:space="preserve"> A</w:t>
      </w:r>
      <w:r w:rsidRPr="00DC14B5">
        <w:rPr>
          <w:rFonts w:asciiTheme="majorHAnsi" w:hAnsiTheme="majorHAnsi"/>
          <w:b/>
          <w:color w:val="365F91"/>
          <w:sz w:val="28"/>
          <w:szCs w:val="28"/>
        </w:rPr>
        <w:t xml:space="preserve">: </w:t>
      </w:r>
      <w:r>
        <w:rPr>
          <w:rFonts w:asciiTheme="majorHAnsi" w:hAnsiTheme="majorHAnsi"/>
          <w:b/>
          <w:color w:val="365F91"/>
          <w:sz w:val="28"/>
          <w:szCs w:val="28"/>
        </w:rPr>
        <w:t>Details of Therapeutic Range Calculations</w:t>
      </w:r>
    </w:p>
    <w:p w:rsidR="00185DE9" w:rsidRPr="006D0555" w:rsidRDefault="00185DE9" w:rsidP="00185DE9">
      <w:pPr>
        <w:spacing w:line="276" w:lineRule="auto"/>
        <w:rPr>
          <w:szCs w:val="24"/>
        </w:rPr>
      </w:pPr>
      <w:r w:rsidRPr="006D1F23">
        <w:rPr>
          <w:noProof/>
        </w:rPr>
        <w:drawing>
          <wp:anchor distT="0" distB="0" distL="114300" distR="114300" simplePos="0" relativeHeight="251660288" behindDoc="1" locked="0" layoutInCell="1" allowOverlap="1">
            <wp:simplePos x="0" y="0"/>
            <wp:positionH relativeFrom="column">
              <wp:posOffset>3267710</wp:posOffset>
            </wp:positionH>
            <wp:positionV relativeFrom="paragraph">
              <wp:posOffset>47625</wp:posOffset>
            </wp:positionV>
            <wp:extent cx="3093720" cy="1733550"/>
            <wp:effectExtent l="0" t="0" r="0" b="0"/>
            <wp:wrapTight wrapText="bothSides">
              <wp:wrapPolygon edited="0">
                <wp:start x="0" y="0"/>
                <wp:lineTo x="0" y="21363"/>
                <wp:lineTo x="21414" y="21363"/>
                <wp:lineTo x="214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20" cy="1733550"/>
                    </a:xfrm>
                    <a:prstGeom prst="rect">
                      <a:avLst/>
                    </a:prstGeom>
                    <a:noFill/>
                    <a:ln>
                      <a:noFill/>
                    </a:ln>
                  </pic:spPr>
                </pic:pic>
              </a:graphicData>
            </a:graphic>
          </wp:anchor>
        </w:drawing>
      </w:r>
      <w:r>
        <w:rPr>
          <w:szCs w:val="24"/>
        </w:rPr>
        <w:t>C</w:t>
      </w:r>
      <w:r w:rsidRPr="006D0555">
        <w:rPr>
          <w:szCs w:val="24"/>
        </w:rPr>
        <w:t>onsider the case of a patient whose blood pressure is taken as outlined in Figure 5.</w:t>
      </w:r>
      <w:r>
        <w:rPr>
          <w:szCs w:val="24"/>
        </w:rPr>
        <w:t xml:space="preserve">  </w:t>
      </w:r>
      <w:r w:rsidRPr="006D0555">
        <w:rPr>
          <w:szCs w:val="24"/>
        </w:rPr>
        <w:t xml:space="preserve">Establish the percent of days the patient is in therapeutic range.  On days when blood pressure was not measured, assume that </w:t>
      </w:r>
      <w:r>
        <w:rPr>
          <w:szCs w:val="24"/>
        </w:rPr>
        <w:t xml:space="preserve">the </w:t>
      </w:r>
      <w:r w:rsidRPr="006D0555">
        <w:rPr>
          <w:szCs w:val="24"/>
        </w:rPr>
        <w:t xml:space="preserve">blood pressure is the same as the nearest data point less than 7 days away.  For all other days assume that the blood pressure is unknown. </w:t>
      </w:r>
    </w:p>
    <w:p w:rsidR="00185DE9" w:rsidRPr="0078645F" w:rsidRDefault="00185DE9" w:rsidP="00185DE9">
      <w:pPr>
        <w:spacing w:line="276" w:lineRule="auto"/>
        <w:rPr>
          <w:szCs w:val="24"/>
        </w:rPr>
      </w:pPr>
    </w:p>
    <w:p w:rsidR="00185DE9" w:rsidRPr="0078645F" w:rsidRDefault="00185DE9" w:rsidP="00185DE9">
      <w:pPr>
        <w:spacing w:line="276" w:lineRule="auto"/>
        <w:rPr>
          <w:szCs w:val="24"/>
        </w:rPr>
      </w:pPr>
      <w:r w:rsidRPr="0078645F">
        <w:rPr>
          <w:noProof/>
        </w:rPr>
        <w:drawing>
          <wp:anchor distT="0" distB="0" distL="114300" distR="114300" simplePos="0" relativeHeight="251661312" behindDoc="1" locked="0" layoutInCell="1" allowOverlap="1">
            <wp:simplePos x="0" y="0"/>
            <wp:positionH relativeFrom="column">
              <wp:posOffset>3268345</wp:posOffset>
            </wp:positionH>
            <wp:positionV relativeFrom="paragraph">
              <wp:posOffset>75565</wp:posOffset>
            </wp:positionV>
            <wp:extent cx="3093085" cy="1784985"/>
            <wp:effectExtent l="0" t="0" r="0" b="0"/>
            <wp:wrapTight wrapText="bothSides">
              <wp:wrapPolygon edited="0">
                <wp:start x="0" y="0"/>
                <wp:lineTo x="0" y="21439"/>
                <wp:lineTo x="21418" y="21439"/>
                <wp:lineTo x="214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1784985"/>
                    </a:xfrm>
                    <a:prstGeom prst="rect">
                      <a:avLst/>
                    </a:prstGeom>
                    <a:noFill/>
                    <a:ln>
                      <a:noFill/>
                    </a:ln>
                  </pic:spPr>
                </pic:pic>
              </a:graphicData>
            </a:graphic>
          </wp:anchor>
        </w:drawing>
      </w:r>
      <w:r w:rsidRPr="0078645F">
        <w:rPr>
          <w:szCs w:val="24"/>
        </w:rPr>
        <w:t>Step 1: Plot the Observation Data</w:t>
      </w:r>
    </w:p>
    <w:p w:rsidR="00185DE9" w:rsidRPr="0078645F" w:rsidRDefault="00185DE9" w:rsidP="00185DE9">
      <w:pPr>
        <w:spacing w:line="276" w:lineRule="auto"/>
        <w:rPr>
          <w:szCs w:val="24"/>
        </w:rPr>
      </w:pPr>
    </w:p>
    <w:p w:rsidR="00185DE9" w:rsidRPr="0078645F" w:rsidRDefault="00185DE9" w:rsidP="00185DE9">
      <w:pPr>
        <w:pStyle w:val="ListParagraph"/>
        <w:numPr>
          <w:ilvl w:val="0"/>
          <w:numId w:val="8"/>
        </w:numPr>
        <w:spacing w:after="0"/>
        <w:rPr>
          <w:szCs w:val="24"/>
        </w:rPr>
      </w:pPr>
      <w:r w:rsidRPr="0078645F">
        <w:rPr>
          <w:rFonts w:ascii="Times New Roman" w:hAnsi="Times New Roman"/>
          <w:szCs w:val="24"/>
        </w:rPr>
        <w:t>There are four points at which the plot of observed data crossed the control limits.</w:t>
      </w:r>
    </w:p>
    <w:p w:rsidR="00185DE9" w:rsidRPr="0078645F" w:rsidRDefault="00185DE9" w:rsidP="00185DE9">
      <w:pPr>
        <w:pStyle w:val="ListParagraph"/>
        <w:spacing w:after="0"/>
        <w:rPr>
          <w:szCs w:val="24"/>
        </w:rPr>
      </w:pPr>
    </w:p>
    <w:p w:rsidR="00185DE9" w:rsidRPr="0078645F" w:rsidRDefault="00185DE9" w:rsidP="00185DE9">
      <w:pPr>
        <w:pStyle w:val="ListParagraph"/>
        <w:numPr>
          <w:ilvl w:val="0"/>
          <w:numId w:val="8"/>
        </w:numPr>
        <w:spacing w:after="0"/>
        <w:rPr>
          <w:szCs w:val="24"/>
        </w:rPr>
      </w:pPr>
      <w:r w:rsidRPr="0078645F">
        <w:rPr>
          <w:rFonts w:ascii="Times New Roman" w:hAnsi="Times New Roman"/>
          <w:szCs w:val="24"/>
        </w:rPr>
        <w:t xml:space="preserve">The first two points crossed the upper control limit; the second crossed the lower. </w:t>
      </w:r>
    </w:p>
    <w:p w:rsidR="00185DE9" w:rsidRPr="0078645F" w:rsidRDefault="00185DE9" w:rsidP="00185DE9">
      <w:pPr>
        <w:rPr>
          <w:szCs w:val="24"/>
        </w:rPr>
      </w:pPr>
    </w:p>
    <w:p w:rsidR="00185DE9" w:rsidRPr="0078645F" w:rsidRDefault="00185DE9" w:rsidP="00185DE9">
      <w:pPr>
        <w:rPr>
          <w:szCs w:val="24"/>
        </w:rPr>
      </w:pPr>
    </w:p>
    <w:p w:rsidR="00185DE9" w:rsidRPr="0078645F" w:rsidRDefault="00185DE9" w:rsidP="00185DE9">
      <w:pPr>
        <w:rPr>
          <w:szCs w:val="24"/>
        </w:rPr>
      </w:pPr>
    </w:p>
    <w:p w:rsidR="00185DE9" w:rsidRPr="006D0555" w:rsidRDefault="00185DE9" w:rsidP="00185DE9">
      <w:pPr>
        <w:rPr>
          <w:szCs w:val="24"/>
        </w:rPr>
      </w:pPr>
      <w:r w:rsidRPr="0078645F">
        <w:rPr>
          <w:szCs w:val="24"/>
        </w:rPr>
        <w:t>Step 2: Calculate Where the Lines Cross the Control Limits</w:t>
      </w:r>
    </w:p>
    <w:p w:rsidR="00185DE9" w:rsidRDefault="00185DE9" w:rsidP="00185DE9">
      <w:pPr>
        <w:pStyle w:val="ListParagraph"/>
        <w:spacing w:after="0"/>
        <w:rPr>
          <w:rFonts w:ascii="Times New Roman" w:hAnsi="Times New Roman"/>
          <w:szCs w:val="24"/>
        </w:rPr>
      </w:pPr>
    </w:p>
    <w:p w:rsidR="00185DE9" w:rsidRDefault="00185DE9" w:rsidP="00185DE9">
      <w:pPr>
        <w:pStyle w:val="ListParagraph"/>
        <w:numPr>
          <w:ilvl w:val="0"/>
          <w:numId w:val="8"/>
        </w:numPr>
        <w:spacing w:after="0"/>
        <w:rPr>
          <w:rFonts w:ascii="Times New Roman" w:hAnsi="Times New Roman"/>
          <w:szCs w:val="24"/>
        </w:rPr>
      </w:pPr>
      <w:r>
        <w:rPr>
          <w:rFonts w:ascii="Times New Roman" w:hAnsi="Times New Roman"/>
          <w:szCs w:val="24"/>
        </w:rPr>
        <w:t>Insert rows for each point at which the plotted data crossed the control limit.</w:t>
      </w:r>
    </w:p>
    <w:p w:rsidR="00185DE9" w:rsidRDefault="00185DE9" w:rsidP="00185DE9">
      <w:pPr>
        <w:pStyle w:val="ListParagraph"/>
        <w:spacing w:after="0"/>
        <w:rPr>
          <w:rFonts w:ascii="Times New Roman" w:hAnsi="Times New Roman"/>
          <w:szCs w:val="24"/>
        </w:rPr>
      </w:pPr>
    </w:p>
    <w:p w:rsidR="00185DE9" w:rsidRDefault="00185DE9" w:rsidP="00185DE9">
      <w:pPr>
        <w:pStyle w:val="ListParagraph"/>
        <w:numPr>
          <w:ilvl w:val="0"/>
          <w:numId w:val="8"/>
        </w:numPr>
        <w:spacing w:after="0"/>
        <w:rPr>
          <w:rFonts w:ascii="Times New Roman" w:hAnsi="Times New Roman"/>
          <w:szCs w:val="24"/>
        </w:rPr>
      </w:pPr>
      <w:r w:rsidRPr="00686BE9">
        <w:rPr>
          <w:rFonts w:ascii="Times New Roman" w:hAnsi="Times New Roman"/>
          <w:szCs w:val="24"/>
        </w:rPr>
        <w:t>Estimate the day on which the bl</w:t>
      </w:r>
      <w:r>
        <w:rPr>
          <w:rFonts w:ascii="Times New Roman" w:hAnsi="Times New Roman"/>
          <w:szCs w:val="24"/>
        </w:rPr>
        <w:t xml:space="preserve">ood pressure moved out of range as a linear interpolation. </w:t>
      </w:r>
    </w:p>
    <w:p w:rsidR="00185DE9" w:rsidRDefault="00185DE9" w:rsidP="00185DE9">
      <w:pPr>
        <w:pStyle w:val="ListParagraph"/>
        <w:spacing w:after="0"/>
        <w:rPr>
          <w:rFonts w:ascii="Times New Roman" w:hAnsi="Times New Roman"/>
          <w:szCs w:val="24"/>
        </w:rPr>
      </w:pPr>
      <w:r>
        <w:rPr>
          <w:rFonts w:ascii="Times New Roman" w:hAnsi="Times New Roman"/>
          <w:szCs w:val="24"/>
        </w:rPr>
        <w:t xml:space="preserve">The first out of range blood pressure occurred on Day 20, registering 150 </w:t>
      </w:r>
      <w:proofErr w:type="spellStart"/>
      <w:r>
        <w:rPr>
          <w:rFonts w:ascii="Times New Roman" w:hAnsi="Times New Roman"/>
          <w:szCs w:val="24"/>
        </w:rPr>
        <w:t>mmhg</w:t>
      </w:r>
      <w:proofErr w:type="spellEnd"/>
      <w:r>
        <w:rPr>
          <w:rFonts w:ascii="Times New Roman" w:hAnsi="Times New Roman"/>
          <w:szCs w:val="24"/>
        </w:rPr>
        <w:t xml:space="preserve">.  What day was it likely that the patient’s blood pressure first moved out of range?  This is calculated as a linear interpolation.  </w:t>
      </w:r>
    </w:p>
    <w:p w:rsidR="00185DE9" w:rsidRDefault="00185DE9" w:rsidP="00185DE9">
      <w:pPr>
        <w:pStyle w:val="ListParagraph"/>
        <w:spacing w:after="0"/>
        <w:ind w:left="0"/>
        <w:rPr>
          <w:rFonts w:ascii="Times New Roman" w:hAnsi="Times New Roman"/>
          <w:szCs w:val="24"/>
        </w:rPr>
      </w:pPr>
    </w:p>
    <w:p w:rsidR="00185DE9" w:rsidRPr="006D0555" w:rsidRDefault="004C6E84" w:rsidP="00185DE9">
      <w:pPr>
        <w:pStyle w:val="ListParagraph"/>
        <w:spacing w:after="0"/>
        <w:rPr>
          <w:rFonts w:ascii="Times New Roman" w:hAnsi="Times New Roman"/>
          <w:sz w:val="20"/>
        </w:rPr>
      </w:pPr>
      <m:oMath>
        <m:sSub>
          <m:sSubPr>
            <m:ctrlPr>
              <w:rPr>
                <w:rFonts w:ascii="Cambria Math" w:hAnsi="Cambria Math"/>
                <w:sz w:val="20"/>
              </w:rPr>
            </m:ctrlPr>
          </m:sSubPr>
          <m:e>
            <m:r>
              <w:rPr>
                <w:rFonts w:ascii="Cambria Math" w:hAnsi="Cambria Math"/>
                <w:sz w:val="20"/>
              </w:rPr>
              <m:t>Day</m:t>
            </m:r>
          </m:e>
          <m:sub>
            <m:r>
              <w:rPr>
                <w:rFonts w:ascii="Cambria Math" w:hAnsi="Cambria Math"/>
                <w:sz w:val="20"/>
              </w:rPr>
              <m:t>n</m:t>
            </m:r>
          </m:sub>
        </m:sSub>
        <m:r>
          <w:rPr>
            <w:rFonts w:ascii="Cambria Math" w:hAnsi="Cambria Math"/>
            <w:sz w:val="20"/>
          </w:rPr>
          <m:t>=</m:t>
        </m:r>
        <m:f>
          <m:fPr>
            <m:ctrlPr>
              <w:rPr>
                <w:rFonts w:ascii="Cambria Math" w:hAnsi="Cambria Math"/>
                <w:i/>
                <w:sz w:val="20"/>
              </w:rPr>
            </m:ctrlPr>
          </m:fPr>
          <m:num>
            <m:d>
              <m:dPr>
                <m:ctrlPr>
                  <w:rPr>
                    <w:rFonts w:ascii="Cambria Math" w:hAnsi="Cambria Math"/>
                    <w:i/>
                    <w:sz w:val="20"/>
                  </w:rPr>
                </m:ctrlPr>
              </m:dPr>
              <m:e>
                <m:r>
                  <w:rPr>
                    <w:rFonts w:ascii="Cambria Math" w:hAnsi="Cambria Math"/>
                    <w:sz w:val="20"/>
                  </w:rPr>
                  <m:t>Control Limit Crossed-Lower Control Limit</m:t>
                </m:r>
              </m:e>
            </m:d>
          </m:num>
          <m:den>
            <m:r>
              <w:rPr>
                <w:rFonts w:ascii="Cambria Math" w:hAnsi="Cambria Math"/>
                <w:sz w:val="20"/>
              </w:rPr>
              <m:t>(Observed Value-Lower Control Limit)</m:t>
            </m:r>
          </m:den>
        </m:f>
        <m:r>
          <w:rPr>
            <w:rFonts w:ascii="Cambria Math" w:hAnsi="Cambria Math"/>
            <w:sz w:val="20"/>
          </w:rPr>
          <m:t>*</m:t>
        </m:r>
        <m:d>
          <m:dPr>
            <m:ctrlPr>
              <w:rPr>
                <w:rFonts w:ascii="Cambria Math" w:hAnsi="Cambria Math"/>
                <w:i/>
                <w:sz w:val="20"/>
              </w:rPr>
            </m:ctrlPr>
          </m:dPr>
          <m:e>
            <m:r>
              <w:rPr>
                <w:rFonts w:ascii="Cambria Math" w:hAnsi="Cambria Math"/>
                <w:sz w:val="20"/>
              </w:rPr>
              <m:t>Day of Observation-Starting Date</m:t>
            </m:r>
          </m:e>
        </m:d>
        <m:r>
          <w:rPr>
            <w:rFonts w:ascii="Cambria Math" w:hAnsi="Cambria Math"/>
            <w:sz w:val="20"/>
          </w:rPr>
          <m:t>+Starting Date</m:t>
        </m:r>
      </m:oMath>
      <w:r w:rsidR="00185DE9" w:rsidRPr="006D0555">
        <w:rPr>
          <w:rFonts w:ascii="Times New Roman" w:hAnsi="Times New Roman"/>
          <w:sz w:val="20"/>
        </w:rPr>
        <w:t xml:space="preserve"> </w:t>
      </w:r>
    </w:p>
    <w:p w:rsidR="00185DE9" w:rsidRDefault="00185DE9" w:rsidP="00185DE9">
      <w:pPr>
        <w:rPr>
          <w:szCs w:val="24"/>
        </w:rPr>
      </w:pPr>
      <w:r w:rsidRPr="006D0555">
        <w:rPr>
          <w:noProof/>
        </w:rPr>
        <w:drawing>
          <wp:anchor distT="0" distB="0" distL="114300" distR="114300" simplePos="0" relativeHeight="251664384" behindDoc="1" locked="0" layoutInCell="1" allowOverlap="1">
            <wp:simplePos x="0" y="0"/>
            <wp:positionH relativeFrom="column">
              <wp:posOffset>518795</wp:posOffset>
            </wp:positionH>
            <wp:positionV relativeFrom="paragraph">
              <wp:posOffset>8890</wp:posOffset>
            </wp:positionV>
            <wp:extent cx="5646420" cy="2085340"/>
            <wp:effectExtent l="0" t="0" r="0" b="0"/>
            <wp:wrapTight wrapText="bothSides">
              <wp:wrapPolygon edited="0">
                <wp:start x="0" y="0"/>
                <wp:lineTo x="0" y="21311"/>
                <wp:lineTo x="21498" y="21311"/>
                <wp:lineTo x="2149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68"/>
                    <a:stretch/>
                  </pic:blipFill>
                  <pic:spPr bwMode="auto">
                    <a:xfrm>
                      <a:off x="0" y="0"/>
                      <a:ext cx="5646420" cy="2085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5DE9" w:rsidRDefault="00185DE9" w:rsidP="00185DE9">
      <w:pPr>
        <w:rPr>
          <w:szCs w:val="24"/>
        </w:rPr>
      </w:pPr>
      <w:r>
        <w:rPr>
          <w:szCs w:val="24"/>
        </w:rPr>
        <w:tab/>
        <w:t xml:space="preserve">For this first point, </w:t>
      </w:r>
    </w:p>
    <w:p w:rsidR="00185DE9" w:rsidRDefault="00185DE9" w:rsidP="00185DE9">
      <w:pPr>
        <w:rPr>
          <w:szCs w:val="24"/>
        </w:rPr>
      </w:pPr>
    </w:p>
    <w:p w:rsidR="00185DE9" w:rsidRDefault="004C6E84" w:rsidP="00185DE9">
      <w:pPr>
        <w:pStyle w:val="ListParagraph"/>
        <w:spacing w:after="0"/>
        <w:ind w:left="1080"/>
        <w:rPr>
          <w:rFonts w:ascii="Times New Roman" w:hAnsi="Times New Roman"/>
          <w:szCs w:val="24"/>
        </w:rPr>
      </w:pPr>
      <m:oMath>
        <m:sSub>
          <m:sSubPr>
            <m:ctrlPr>
              <w:rPr>
                <w:rFonts w:ascii="Cambria Math" w:hAnsi="Cambria Math"/>
                <w:szCs w:val="24"/>
              </w:rPr>
            </m:ctrlPr>
          </m:sSubPr>
          <m:e>
            <m:r>
              <w:rPr>
                <w:rFonts w:ascii="Cambria Math" w:hAnsi="Cambria Math"/>
                <w:szCs w:val="24"/>
              </w:rPr>
              <m:t>Day</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140 mmhg-125 mmhg</m:t>
                </m:r>
              </m:e>
            </m:d>
          </m:num>
          <m:den>
            <m:r>
              <w:rPr>
                <w:rFonts w:ascii="Cambria Math" w:hAnsi="Cambria Math"/>
                <w:szCs w:val="24"/>
              </w:rPr>
              <m:t>(150 mmhg-125 mmhg)</m:t>
            </m:r>
          </m:den>
        </m:f>
        <m:r>
          <w:rPr>
            <w:rFonts w:ascii="Cambria Math" w:hAnsi="Cambria Math"/>
            <w:szCs w:val="24"/>
          </w:rPr>
          <m:t>*</m:t>
        </m:r>
        <m:d>
          <m:dPr>
            <m:ctrlPr>
              <w:rPr>
                <w:rFonts w:ascii="Cambria Math" w:hAnsi="Cambria Math"/>
                <w:i/>
                <w:szCs w:val="24"/>
              </w:rPr>
            </m:ctrlPr>
          </m:dPr>
          <m:e>
            <m:r>
              <w:rPr>
                <w:rFonts w:ascii="Cambria Math" w:hAnsi="Cambria Math"/>
                <w:szCs w:val="24"/>
              </w:rPr>
              <m:t>20 Days-0 Days</m:t>
            </m:r>
          </m:e>
        </m:d>
        <m:r>
          <w:rPr>
            <w:rFonts w:ascii="Cambria Math" w:hAnsi="Cambria Math"/>
            <w:szCs w:val="24"/>
          </w:rPr>
          <m:t>+0=12</m:t>
        </m:r>
      </m:oMath>
      <w:r w:rsidR="00185DE9">
        <w:rPr>
          <w:rFonts w:ascii="Times New Roman" w:hAnsi="Times New Roman"/>
          <w:szCs w:val="24"/>
        </w:rPr>
        <w:t xml:space="preserve"> </w:t>
      </w:r>
    </w:p>
    <w:p w:rsidR="00185DE9" w:rsidRDefault="00185DE9" w:rsidP="00185DE9">
      <w:pPr>
        <w:rPr>
          <w:szCs w:val="24"/>
        </w:rPr>
      </w:pPr>
    </w:p>
    <w:p w:rsidR="00185DE9" w:rsidRDefault="00185DE9" w:rsidP="00185DE9">
      <w:pPr>
        <w:ind w:left="720"/>
        <w:rPr>
          <w:szCs w:val="24"/>
        </w:rPr>
      </w:pPr>
      <w:r>
        <w:rPr>
          <w:szCs w:val="24"/>
        </w:rPr>
        <w:t xml:space="preserve">A similar approach is used to calculate the other three dates on which the patient’s blood pressure crossed control thresholds. </w:t>
      </w:r>
    </w:p>
    <w:p w:rsidR="00185DE9" w:rsidRDefault="00185DE9" w:rsidP="00185DE9">
      <w:pPr>
        <w:rPr>
          <w:szCs w:val="24"/>
        </w:rPr>
      </w:pPr>
    </w:p>
    <w:p w:rsidR="00185DE9" w:rsidRPr="00657183" w:rsidRDefault="00185DE9" w:rsidP="00185DE9">
      <w:pPr>
        <w:rPr>
          <w:szCs w:val="24"/>
        </w:rPr>
      </w:pPr>
      <w:r>
        <w:rPr>
          <w:szCs w:val="24"/>
        </w:rPr>
        <w:t>Step 3: Calculate Days in Range</w:t>
      </w:r>
    </w:p>
    <w:p w:rsidR="00185DE9" w:rsidRDefault="00185DE9" w:rsidP="00185DE9">
      <w:pPr>
        <w:pStyle w:val="ListParagraph"/>
        <w:spacing w:after="0"/>
        <w:rPr>
          <w:rFonts w:ascii="Times New Roman" w:hAnsi="Times New Roman"/>
          <w:szCs w:val="24"/>
        </w:rPr>
      </w:pPr>
    </w:p>
    <w:p w:rsidR="00185DE9" w:rsidRDefault="00185DE9" w:rsidP="00185DE9">
      <w:pPr>
        <w:pStyle w:val="ListParagraph"/>
        <w:numPr>
          <w:ilvl w:val="0"/>
          <w:numId w:val="8"/>
        </w:numPr>
        <w:spacing w:after="0"/>
        <w:rPr>
          <w:rFonts w:ascii="Times New Roman" w:hAnsi="Times New Roman"/>
          <w:szCs w:val="24"/>
        </w:rPr>
      </w:pPr>
      <w:r>
        <w:rPr>
          <w:rFonts w:ascii="Times New Roman" w:hAnsi="Times New Roman"/>
          <w:szCs w:val="24"/>
        </w:rPr>
        <w:t xml:space="preserve">Calculation of Days in Range is done by inspection for each observation. If both the starting and ending observations are in range. </w:t>
      </w:r>
    </w:p>
    <w:p w:rsidR="00185DE9" w:rsidRDefault="00185DE9" w:rsidP="00185DE9">
      <w:pPr>
        <w:rPr>
          <w:szCs w:val="24"/>
        </w:rPr>
      </w:pPr>
    </w:p>
    <w:p w:rsidR="00185DE9" w:rsidRDefault="00185DE9" w:rsidP="00185DE9">
      <w:pPr>
        <w:ind w:left="720"/>
        <w:rPr>
          <w:i/>
          <w:szCs w:val="24"/>
        </w:rPr>
      </w:pPr>
      <w:r>
        <w:rPr>
          <w:i/>
          <w:szCs w:val="24"/>
        </w:rPr>
        <w:t xml:space="preserve"> Days in Range = Ending Observation Date – Starting Observation Date.</w:t>
      </w:r>
    </w:p>
    <w:p w:rsidR="00185DE9" w:rsidRDefault="00185DE9" w:rsidP="00185DE9">
      <w:pPr>
        <w:ind w:left="720"/>
        <w:rPr>
          <w:i/>
          <w:szCs w:val="24"/>
        </w:rPr>
      </w:pPr>
    </w:p>
    <w:p w:rsidR="00185DE9" w:rsidRDefault="00185DE9" w:rsidP="00185DE9">
      <w:pPr>
        <w:ind w:left="720"/>
        <w:rPr>
          <w:szCs w:val="24"/>
        </w:rPr>
      </w:pPr>
      <w:r>
        <w:rPr>
          <w:szCs w:val="24"/>
        </w:rPr>
        <w:t xml:space="preserve">For the first point, </w:t>
      </w:r>
    </w:p>
    <w:p w:rsidR="00185DE9" w:rsidRDefault="00185DE9" w:rsidP="00185DE9">
      <w:pPr>
        <w:ind w:left="720"/>
        <w:rPr>
          <w:szCs w:val="24"/>
        </w:rPr>
      </w:pPr>
    </w:p>
    <w:p w:rsidR="00185DE9" w:rsidRPr="006D0555" w:rsidRDefault="00185DE9" w:rsidP="00185DE9">
      <w:pPr>
        <w:ind w:left="720"/>
        <w:rPr>
          <w:i/>
          <w:szCs w:val="24"/>
        </w:rPr>
      </w:pPr>
      <w:r w:rsidRPr="006D0555">
        <w:rPr>
          <w:i/>
          <w:szCs w:val="24"/>
        </w:rPr>
        <w:t>Days in Range = 12 – 0 = 12.</w:t>
      </w:r>
    </w:p>
    <w:p w:rsidR="00185DE9" w:rsidRPr="00407E76" w:rsidRDefault="00185DE9" w:rsidP="00185DE9">
      <w:pPr>
        <w:ind w:left="720"/>
        <w:rPr>
          <w:szCs w:val="24"/>
        </w:rPr>
      </w:pPr>
    </w:p>
    <w:p w:rsidR="00185DE9" w:rsidRDefault="00185DE9" w:rsidP="00185DE9">
      <w:pPr>
        <w:rPr>
          <w:szCs w:val="24"/>
        </w:rPr>
      </w:pPr>
      <w:r w:rsidRPr="00A5547E">
        <w:rPr>
          <w:noProof/>
        </w:rPr>
        <w:drawing>
          <wp:anchor distT="0" distB="0" distL="114300" distR="114300" simplePos="0" relativeHeight="251662336" behindDoc="1" locked="0" layoutInCell="1" allowOverlap="1">
            <wp:simplePos x="0" y="0"/>
            <wp:positionH relativeFrom="column">
              <wp:posOffset>2540</wp:posOffset>
            </wp:positionH>
            <wp:positionV relativeFrom="paragraph">
              <wp:posOffset>3175</wp:posOffset>
            </wp:positionV>
            <wp:extent cx="6400800" cy="2159000"/>
            <wp:effectExtent l="0" t="0" r="0" b="0"/>
            <wp:wrapTight wrapText="bothSides">
              <wp:wrapPolygon edited="0">
                <wp:start x="0" y="0"/>
                <wp:lineTo x="0" y="21346"/>
                <wp:lineTo x="21536" y="21346"/>
                <wp:lineTo x="215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159000"/>
                    </a:xfrm>
                    <a:prstGeom prst="rect">
                      <a:avLst/>
                    </a:prstGeom>
                    <a:noFill/>
                    <a:ln>
                      <a:noFill/>
                    </a:ln>
                  </pic:spPr>
                </pic:pic>
              </a:graphicData>
            </a:graphic>
          </wp:anchor>
        </w:drawing>
      </w:r>
    </w:p>
    <w:p w:rsidR="00185DE9" w:rsidRPr="00763505" w:rsidRDefault="00185DE9" w:rsidP="00185DE9">
      <w:pPr>
        <w:spacing w:after="200" w:line="276" w:lineRule="auto"/>
        <w:rPr>
          <w:szCs w:val="24"/>
        </w:rPr>
      </w:pPr>
      <w:r>
        <w:rPr>
          <w:szCs w:val="24"/>
        </w:rPr>
        <w:t xml:space="preserve">Step 4: </w:t>
      </w:r>
      <w:r w:rsidRPr="00A5547E">
        <w:rPr>
          <w:szCs w:val="24"/>
        </w:rPr>
        <w:t>Calculate Unknown Day</w:t>
      </w:r>
      <w:r>
        <w:rPr>
          <w:szCs w:val="24"/>
        </w:rPr>
        <w:t>s</w:t>
      </w:r>
      <w:r w:rsidRPr="00A5547E">
        <w:rPr>
          <w:szCs w:val="24"/>
        </w:rPr>
        <w:t xml:space="preserve"> </w:t>
      </w:r>
    </w:p>
    <w:p w:rsidR="00185DE9" w:rsidRPr="006D0555" w:rsidRDefault="00185DE9" w:rsidP="00185DE9">
      <w:pPr>
        <w:pStyle w:val="ListParagraph"/>
        <w:numPr>
          <w:ilvl w:val="0"/>
          <w:numId w:val="8"/>
        </w:numPr>
        <w:rPr>
          <w:rFonts w:ascii="Times New Roman" w:hAnsi="Times New Roman"/>
          <w:szCs w:val="24"/>
        </w:rPr>
      </w:pPr>
      <w:r w:rsidRPr="006D0555">
        <w:rPr>
          <w:rFonts w:ascii="Times New Roman" w:hAnsi="Times New Roman"/>
          <w:szCs w:val="24"/>
        </w:rPr>
        <w:t>On days when blood pressure was not measured, assume that blood pressure is the same as the nearest data point less than 7 days away.  For all other days assume that the blood pressure is unknown.</w:t>
      </w:r>
      <w:r w:rsidRPr="006D0555" w:rsidDel="006D1F23">
        <w:rPr>
          <w:rFonts w:ascii="Times New Roman" w:hAnsi="Times New Roman"/>
          <w:szCs w:val="24"/>
        </w:rPr>
        <w:t xml:space="preserve"> </w:t>
      </w:r>
    </w:p>
    <w:p w:rsidR="00185DE9" w:rsidRDefault="00185DE9" w:rsidP="00185DE9">
      <w:pPr>
        <w:ind w:left="720"/>
        <w:rPr>
          <w:szCs w:val="24"/>
        </w:rPr>
      </w:pPr>
      <w:r w:rsidRPr="007E5106">
        <w:rPr>
          <w:szCs w:val="24"/>
        </w:rPr>
        <w:t xml:space="preserve">This means that for any given day we look 7 days forward and 7 days back for the nearest point.  If we don't find one, the value is null. </w:t>
      </w:r>
    </w:p>
    <w:p w:rsidR="00185DE9" w:rsidRDefault="00185DE9" w:rsidP="00185DE9">
      <w:pPr>
        <w:rPr>
          <w:szCs w:val="24"/>
        </w:rPr>
      </w:pPr>
    </w:p>
    <w:p w:rsidR="00185DE9" w:rsidRDefault="00185DE9" w:rsidP="00185DE9">
      <w:pPr>
        <w:rPr>
          <w:szCs w:val="24"/>
        </w:rPr>
      </w:pPr>
      <w:r w:rsidRPr="00A5547E">
        <w:rPr>
          <w:noProof/>
        </w:rPr>
        <w:drawing>
          <wp:inline distT="0" distB="0" distL="0" distR="0">
            <wp:extent cx="6137982" cy="194138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7982" cy="1941387"/>
                    </a:xfrm>
                    <a:prstGeom prst="rect">
                      <a:avLst/>
                    </a:prstGeom>
                    <a:noFill/>
                    <a:ln>
                      <a:noFill/>
                    </a:ln>
                  </pic:spPr>
                </pic:pic>
              </a:graphicData>
            </a:graphic>
          </wp:inline>
        </w:drawing>
      </w:r>
    </w:p>
    <w:p w:rsidR="00185DE9" w:rsidRPr="00DC14B5" w:rsidRDefault="00185DE9" w:rsidP="00185DE9">
      <w:pPr>
        <w:rPr>
          <w:rFonts w:asciiTheme="majorHAnsi" w:hAnsiTheme="majorHAnsi"/>
          <w:b/>
          <w:bCs/>
          <w:color w:val="365F91"/>
          <w:sz w:val="28"/>
          <w:szCs w:val="28"/>
        </w:rPr>
      </w:pPr>
      <w:r w:rsidRPr="00C30C56" w:rsidDel="006D1F23">
        <w:t xml:space="preserve"> </w:t>
      </w:r>
    </w:p>
    <w:p w:rsidR="00185DE9" w:rsidRPr="00FF5A92" w:rsidRDefault="00185DE9" w:rsidP="00185DE9">
      <w:pPr>
        <w:spacing w:after="200" w:line="276" w:lineRule="auto"/>
        <w:rPr>
          <w:szCs w:val="24"/>
        </w:rPr>
      </w:pPr>
      <w:r>
        <w:rPr>
          <w:szCs w:val="24"/>
        </w:rPr>
        <w:t xml:space="preserve">Step 5: </w:t>
      </w:r>
      <w:r w:rsidRPr="006D0555">
        <w:rPr>
          <w:szCs w:val="24"/>
        </w:rPr>
        <w:t xml:space="preserve">Calculate Percentage of Unknown Days </w:t>
      </w:r>
    </w:p>
    <w:p w:rsidR="00185DE9" w:rsidRDefault="00185DE9" w:rsidP="00185DE9">
      <w:pPr>
        <w:pStyle w:val="ListParagraph"/>
        <w:numPr>
          <w:ilvl w:val="0"/>
          <w:numId w:val="8"/>
        </w:numPr>
        <w:rPr>
          <w:rFonts w:ascii="Times New Roman" w:hAnsi="Times New Roman"/>
          <w:szCs w:val="24"/>
        </w:rPr>
      </w:pPr>
      <w:r w:rsidRPr="00FF5A92">
        <w:rPr>
          <w:rFonts w:ascii="Times New Roman" w:hAnsi="Times New Roman"/>
          <w:szCs w:val="24"/>
        </w:rPr>
        <w:t>The Percentage of Days in Range is given by the following:</w:t>
      </w:r>
    </w:p>
    <w:p w:rsidR="00185DE9" w:rsidRDefault="00185DE9" w:rsidP="00185DE9">
      <w:pPr>
        <w:ind w:left="720"/>
        <w:rPr>
          <w:i/>
          <w:szCs w:val="24"/>
        </w:rPr>
      </w:pPr>
      <w:r>
        <w:rPr>
          <w:i/>
          <w:szCs w:val="24"/>
        </w:rPr>
        <w:t xml:space="preserve">Percentage </w:t>
      </w:r>
      <w:r w:rsidRPr="00A5547E">
        <w:rPr>
          <w:i/>
          <w:szCs w:val="24"/>
        </w:rPr>
        <w:t xml:space="preserve">Days in Range = </w:t>
      </w:r>
      <w:r>
        <w:rPr>
          <w:i/>
          <w:szCs w:val="24"/>
        </w:rPr>
        <w:t>(Total Days in Range – Total Unknown Days) / (</w:t>
      </w:r>
      <w:r w:rsidRPr="00A5547E">
        <w:rPr>
          <w:i/>
          <w:szCs w:val="24"/>
        </w:rPr>
        <w:t xml:space="preserve">Ending Observation Date – Starting </w:t>
      </w:r>
      <w:r w:rsidRPr="00763505">
        <w:rPr>
          <w:i/>
          <w:szCs w:val="24"/>
        </w:rPr>
        <w:t>Observation Dat</w:t>
      </w:r>
      <w:r>
        <w:rPr>
          <w:i/>
          <w:szCs w:val="24"/>
        </w:rPr>
        <w:t>e – Total Unknown Days)</w:t>
      </w:r>
    </w:p>
    <w:p w:rsidR="00185DE9" w:rsidRDefault="00185DE9" w:rsidP="00185DE9">
      <w:pPr>
        <w:ind w:left="720"/>
        <w:rPr>
          <w:i/>
          <w:szCs w:val="24"/>
        </w:rPr>
      </w:pPr>
    </w:p>
    <w:p w:rsidR="00185DE9" w:rsidRDefault="00185DE9" w:rsidP="00185DE9">
      <w:pPr>
        <w:ind w:left="720"/>
        <w:rPr>
          <w:szCs w:val="24"/>
        </w:rPr>
      </w:pPr>
      <w:r>
        <w:rPr>
          <w:szCs w:val="24"/>
        </w:rPr>
        <w:t xml:space="preserve">For this example, </w:t>
      </w:r>
    </w:p>
    <w:p w:rsidR="00185DE9" w:rsidRDefault="00185DE9" w:rsidP="00185DE9">
      <w:pPr>
        <w:ind w:left="720"/>
        <w:rPr>
          <w:szCs w:val="24"/>
        </w:rPr>
      </w:pPr>
    </w:p>
    <w:p w:rsidR="00185DE9" w:rsidRDefault="00185DE9" w:rsidP="00185DE9">
      <w:pPr>
        <w:ind w:left="720"/>
        <w:rPr>
          <w:i/>
          <w:szCs w:val="24"/>
        </w:rPr>
      </w:pPr>
      <w:r>
        <w:rPr>
          <w:i/>
          <w:szCs w:val="24"/>
        </w:rPr>
        <w:t xml:space="preserve">Percentage </w:t>
      </w:r>
      <w:r w:rsidRPr="004B0247">
        <w:rPr>
          <w:i/>
          <w:szCs w:val="24"/>
        </w:rPr>
        <w:t xml:space="preserve">Days in Range = </w:t>
      </w:r>
      <w:r>
        <w:rPr>
          <w:i/>
          <w:szCs w:val="24"/>
        </w:rPr>
        <w:t>(77 – 22) / (120</w:t>
      </w:r>
      <w:r w:rsidRPr="004B0247">
        <w:rPr>
          <w:i/>
          <w:szCs w:val="24"/>
        </w:rPr>
        <w:t xml:space="preserve"> – </w:t>
      </w:r>
      <w:r>
        <w:rPr>
          <w:i/>
          <w:szCs w:val="24"/>
        </w:rPr>
        <w:t>0 – 22</w:t>
      </w:r>
      <w:proofErr w:type="gramStart"/>
      <w:r>
        <w:rPr>
          <w:i/>
          <w:szCs w:val="24"/>
        </w:rPr>
        <w:t>)=</w:t>
      </w:r>
      <w:proofErr w:type="gramEnd"/>
      <w:r>
        <w:rPr>
          <w:i/>
          <w:szCs w:val="24"/>
        </w:rPr>
        <w:t xml:space="preserve"> 56%</w:t>
      </w:r>
    </w:p>
    <w:p w:rsidR="00185DE9" w:rsidRPr="006D0555" w:rsidRDefault="00185DE9" w:rsidP="00185DE9">
      <w:pPr>
        <w:ind w:left="720"/>
        <w:rPr>
          <w:i/>
          <w:szCs w:val="24"/>
        </w:rPr>
      </w:pPr>
    </w:p>
    <w:p w:rsidR="00185DE9" w:rsidRDefault="00185DE9" w:rsidP="00185DE9">
      <w:pPr>
        <w:ind w:left="720"/>
      </w:pPr>
      <w:r w:rsidRPr="00A5547E">
        <w:rPr>
          <w:noProof/>
        </w:rPr>
        <w:drawing>
          <wp:anchor distT="0" distB="0" distL="114300" distR="114300" simplePos="0" relativeHeight="251663360" behindDoc="1" locked="0" layoutInCell="1" allowOverlap="1">
            <wp:simplePos x="0" y="0"/>
            <wp:positionH relativeFrom="column">
              <wp:posOffset>32385</wp:posOffset>
            </wp:positionH>
            <wp:positionV relativeFrom="paragraph">
              <wp:posOffset>92075</wp:posOffset>
            </wp:positionV>
            <wp:extent cx="5478145" cy="2790190"/>
            <wp:effectExtent l="0" t="0" r="0" b="0"/>
            <wp:wrapTight wrapText="bothSides">
              <wp:wrapPolygon edited="0">
                <wp:start x="0" y="0"/>
                <wp:lineTo x="0" y="21384"/>
                <wp:lineTo x="21557" y="21384"/>
                <wp:lineTo x="2155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2790190"/>
                    </a:xfrm>
                    <a:prstGeom prst="rect">
                      <a:avLst/>
                    </a:prstGeom>
                    <a:noFill/>
                    <a:ln>
                      <a:noFill/>
                    </a:ln>
                  </pic:spPr>
                </pic:pic>
              </a:graphicData>
            </a:graphic>
          </wp:anchor>
        </w:drawing>
      </w:r>
    </w:p>
    <w:p w:rsidR="00185DE9" w:rsidRDefault="00185DE9" w:rsidP="00185DE9">
      <w:pPr>
        <w:pStyle w:val="Heading1"/>
      </w:pPr>
    </w:p>
    <w:p w:rsidR="00185DE9" w:rsidRDefault="00185DE9" w:rsidP="00185DE9">
      <w:pPr>
        <w:pStyle w:val="Heading1"/>
      </w:pPr>
    </w:p>
    <w:p w:rsidR="00185DE9" w:rsidRDefault="00185DE9" w:rsidP="00185DE9">
      <w:pPr>
        <w:pStyle w:val="Heading1"/>
      </w:pPr>
    </w:p>
    <w:p w:rsidR="00185DE9" w:rsidRDefault="00185DE9" w:rsidP="00185DE9">
      <w:pPr>
        <w:pStyle w:val="Heading1"/>
      </w:pPr>
    </w:p>
    <w:p w:rsidR="00185DE9" w:rsidRDefault="00185DE9" w:rsidP="00185DE9">
      <w:pPr>
        <w:pStyle w:val="Heading1"/>
      </w:pPr>
    </w:p>
    <w:p w:rsidR="00185DE9" w:rsidRDefault="00185DE9" w:rsidP="00185DE9">
      <w:pPr>
        <w:pStyle w:val="Heading1"/>
      </w:pPr>
    </w:p>
    <w:p w:rsidR="00185DE9" w:rsidRDefault="00185DE9" w:rsidP="00185DE9">
      <w:pPr>
        <w:spacing w:after="200" w:line="276" w:lineRule="auto"/>
        <w:rPr>
          <w:rFonts w:ascii="Cambria" w:hAnsi="Cambria"/>
          <w:b/>
          <w:bCs/>
          <w:color w:val="365F91"/>
          <w:sz w:val="28"/>
          <w:szCs w:val="28"/>
        </w:rPr>
      </w:pPr>
      <w:r>
        <w:br w:type="page"/>
      </w:r>
    </w:p>
    <w:p w:rsidR="00185DE9" w:rsidRDefault="00185DE9" w:rsidP="00185DE9">
      <w:pPr>
        <w:spacing w:after="200" w:line="276" w:lineRule="auto"/>
        <w:rPr>
          <w:rFonts w:asciiTheme="majorHAnsi" w:hAnsiTheme="majorHAnsi"/>
          <w:b/>
          <w:color w:val="365F91"/>
          <w:sz w:val="28"/>
          <w:szCs w:val="28"/>
        </w:rPr>
      </w:pPr>
      <w:r w:rsidRPr="006D0555">
        <w:rPr>
          <w:noProof/>
        </w:rPr>
        <w:drawing>
          <wp:anchor distT="0" distB="0" distL="114300" distR="114300" simplePos="0" relativeHeight="251659264" behindDoc="1" locked="0" layoutInCell="1" allowOverlap="1">
            <wp:simplePos x="0" y="0"/>
            <wp:positionH relativeFrom="column">
              <wp:posOffset>4265295</wp:posOffset>
            </wp:positionH>
            <wp:positionV relativeFrom="paragraph">
              <wp:posOffset>361315</wp:posOffset>
            </wp:positionV>
            <wp:extent cx="2119630" cy="2321560"/>
            <wp:effectExtent l="0" t="0" r="0" b="0"/>
            <wp:wrapTight wrapText="bothSides">
              <wp:wrapPolygon edited="0">
                <wp:start x="0" y="0"/>
                <wp:lineTo x="0" y="21446"/>
                <wp:lineTo x="21354" y="21446"/>
                <wp:lineTo x="213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96" r="33487" b="6402"/>
                    <a:stretch/>
                  </pic:blipFill>
                  <pic:spPr bwMode="auto">
                    <a:xfrm>
                      <a:off x="0" y="0"/>
                      <a:ext cx="2119630" cy="2321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71F57">
        <w:rPr>
          <w:rFonts w:asciiTheme="majorHAnsi" w:hAnsiTheme="majorHAnsi"/>
          <w:b/>
          <w:color w:val="365F91"/>
          <w:sz w:val="28"/>
          <w:szCs w:val="28"/>
        </w:rPr>
        <w:t>Appendix</w:t>
      </w:r>
      <w:r>
        <w:rPr>
          <w:rFonts w:asciiTheme="majorHAnsi" w:hAnsiTheme="majorHAnsi"/>
          <w:b/>
          <w:color w:val="365F91"/>
          <w:sz w:val="28"/>
          <w:szCs w:val="28"/>
        </w:rPr>
        <w:t xml:space="preserve"> C</w:t>
      </w:r>
      <w:r w:rsidRPr="00871F57">
        <w:rPr>
          <w:rFonts w:asciiTheme="majorHAnsi" w:hAnsiTheme="majorHAnsi"/>
          <w:b/>
          <w:color w:val="365F91"/>
          <w:sz w:val="28"/>
          <w:szCs w:val="28"/>
        </w:rPr>
        <w:t xml:space="preserve">: </w:t>
      </w:r>
      <w:r>
        <w:rPr>
          <w:rFonts w:asciiTheme="majorHAnsi" w:hAnsiTheme="majorHAnsi"/>
          <w:b/>
          <w:color w:val="365F91"/>
          <w:sz w:val="28"/>
          <w:szCs w:val="28"/>
        </w:rPr>
        <w:t>Age Comparison Verification</w:t>
      </w:r>
    </w:p>
    <w:p w:rsidR="00185DE9" w:rsidRDefault="00185DE9" w:rsidP="00185DE9">
      <w:pPr>
        <w:spacing w:after="200" w:line="276" w:lineRule="auto"/>
      </w:pPr>
      <w:r w:rsidRPr="001467A8">
        <w:t xml:space="preserve">To verify that the matching has been successful, the </w:t>
      </w:r>
      <w:r>
        <w:t xml:space="preserve">ages of </w:t>
      </w:r>
      <w:r w:rsidRPr="001467A8">
        <w:t>cases</w:t>
      </w:r>
      <w:r>
        <w:t xml:space="preserve"> and controls </w:t>
      </w:r>
      <w:r w:rsidRPr="001467A8">
        <w:t xml:space="preserve">are compared.  The null hypothesis is that the cases and the matched controls </w:t>
      </w:r>
      <w:r>
        <w:t>are the same age</w:t>
      </w:r>
      <w:r w:rsidRPr="001467A8">
        <w:t xml:space="preserve">.  The alternative hypothesis is that there is a statistically significant difference </w:t>
      </w:r>
      <w:r>
        <w:t>between ages of patients in the case and control groups</w:t>
      </w:r>
      <w:r w:rsidRPr="001467A8">
        <w:t xml:space="preserve">.  </w:t>
      </w:r>
      <w:r>
        <w:t xml:space="preserve"> </w:t>
      </w:r>
    </w:p>
    <w:p w:rsidR="00185DE9" w:rsidRDefault="00185DE9" w:rsidP="00185DE9">
      <w:r w:rsidRPr="001467A8">
        <w:t>Step 1: State the Hypothesis</w:t>
      </w:r>
    </w:p>
    <w:p w:rsidR="00185DE9" w:rsidRDefault="00185DE9" w:rsidP="00185DE9"/>
    <w:p w:rsidR="00185DE9" w:rsidRDefault="00185DE9" w:rsidP="00185DE9">
      <w:pPr>
        <w:ind w:left="720"/>
      </w:pPr>
      <w:r w:rsidRPr="001467A8">
        <w:t>H</w:t>
      </w:r>
      <w:r w:rsidRPr="00F01850">
        <w:rPr>
          <w:vertAlign w:val="subscript"/>
        </w:rPr>
        <w:t>0</w:t>
      </w:r>
      <w:r w:rsidRPr="001467A8">
        <w:t xml:space="preserve">: Average </w:t>
      </w:r>
      <w:proofErr w:type="spellStart"/>
      <w:r w:rsidRPr="001467A8">
        <w:t>Age</w:t>
      </w:r>
      <w:r w:rsidRPr="00F01850">
        <w:rPr>
          <w:vertAlign w:val="subscript"/>
        </w:rPr>
        <w:t>Case</w:t>
      </w:r>
      <w:proofErr w:type="spellEnd"/>
      <w:r w:rsidRPr="001467A8">
        <w:t xml:space="preserve"> - Average </w:t>
      </w:r>
      <w:proofErr w:type="spellStart"/>
      <w:r w:rsidRPr="001467A8">
        <w:t>Age</w:t>
      </w:r>
      <w:r w:rsidRPr="00F01850">
        <w:rPr>
          <w:vertAlign w:val="subscript"/>
        </w:rPr>
        <w:t>Control</w:t>
      </w:r>
      <w:proofErr w:type="spellEnd"/>
      <w:r w:rsidRPr="001467A8">
        <w:t xml:space="preserve"> = 0 </w:t>
      </w:r>
    </w:p>
    <w:p w:rsidR="00185DE9" w:rsidRDefault="00185DE9" w:rsidP="00185DE9">
      <w:pPr>
        <w:ind w:left="720"/>
      </w:pPr>
      <w:r w:rsidRPr="001467A8">
        <w:t>H</w:t>
      </w:r>
      <w:r w:rsidR="00F01850">
        <w:rPr>
          <w:vertAlign w:val="subscript"/>
        </w:rPr>
        <w:t>a</w:t>
      </w:r>
      <w:r w:rsidRPr="001467A8">
        <w:t xml:space="preserve">: Average </w:t>
      </w:r>
      <w:proofErr w:type="spellStart"/>
      <w:r w:rsidRPr="001467A8">
        <w:t>Age</w:t>
      </w:r>
      <w:r w:rsidRPr="00F01850">
        <w:rPr>
          <w:vertAlign w:val="subscript"/>
        </w:rPr>
        <w:t>Case</w:t>
      </w:r>
      <w:proofErr w:type="spellEnd"/>
      <w:r w:rsidRPr="001467A8">
        <w:t xml:space="preserve"> - Average </w:t>
      </w:r>
      <w:proofErr w:type="spellStart"/>
      <w:r w:rsidRPr="001467A8">
        <w:t>Age</w:t>
      </w:r>
      <w:r w:rsidRPr="00F01850">
        <w:rPr>
          <w:vertAlign w:val="subscript"/>
        </w:rPr>
        <w:t>Contro</w:t>
      </w:r>
      <w:r w:rsidR="00F01850" w:rsidRPr="00F01850">
        <w:rPr>
          <w:vertAlign w:val="subscript"/>
        </w:rPr>
        <w:t>l</w:t>
      </w:r>
      <w:proofErr w:type="spellEnd"/>
      <w:r w:rsidRPr="001467A8">
        <w:t xml:space="preserve"> &lt;&gt; 0</w:t>
      </w:r>
    </w:p>
    <w:p w:rsidR="00185DE9" w:rsidRDefault="00185DE9" w:rsidP="00185DE9"/>
    <w:p w:rsidR="00185DE9" w:rsidRDefault="00185DE9" w:rsidP="00185DE9">
      <w:r w:rsidRPr="001467A8">
        <w:t>Step 2: Calculate the difference between each case and the mean o</w:t>
      </w:r>
      <w:r>
        <w:t>f the controls that match to that</w:t>
      </w:r>
      <w:r w:rsidRPr="001467A8">
        <w:t xml:space="preserve"> case. </w:t>
      </w:r>
    </w:p>
    <w:p w:rsidR="00185DE9" w:rsidRDefault="00185DE9" w:rsidP="00185DE9">
      <w:r>
        <w:tab/>
      </w:r>
    </w:p>
    <w:p w:rsidR="00185DE9" w:rsidRDefault="00185DE9" w:rsidP="00185DE9">
      <w:pPr>
        <w:ind w:firstLine="720"/>
      </w:pPr>
      <w:r w:rsidRPr="006D0555">
        <w:rPr>
          <w:u w:val="single"/>
        </w:rPr>
        <w:t>Case 1 Controls</w:t>
      </w:r>
      <w:r>
        <w:tab/>
      </w:r>
      <w:r w:rsidRPr="006D0555">
        <w:rPr>
          <w:u w:val="single"/>
        </w:rPr>
        <w:t>Age</w:t>
      </w:r>
      <w:r>
        <w:tab/>
      </w:r>
      <w:r>
        <w:tab/>
      </w:r>
      <w:r>
        <w:tab/>
      </w:r>
      <w:r w:rsidRPr="006D0555">
        <w:rPr>
          <w:u w:val="single"/>
        </w:rPr>
        <w:t>Case 3 Controls</w:t>
      </w:r>
      <w:r>
        <w:tab/>
      </w:r>
      <w:r w:rsidRPr="006D0555">
        <w:rPr>
          <w:u w:val="single"/>
        </w:rPr>
        <w:t>Age</w:t>
      </w:r>
    </w:p>
    <w:p w:rsidR="00185DE9" w:rsidRPr="006D0555" w:rsidRDefault="00185DE9" w:rsidP="00185DE9">
      <w:pPr>
        <w:ind w:left="1440"/>
        <w:rPr>
          <w:lang w:val="fr-FR"/>
        </w:rPr>
      </w:pPr>
      <w:r w:rsidRPr="006D0555">
        <w:rPr>
          <w:lang w:val="fr-FR"/>
        </w:rPr>
        <w:t>Patient 8</w:t>
      </w:r>
      <w:r w:rsidRPr="006D0555">
        <w:rPr>
          <w:lang w:val="fr-FR"/>
        </w:rPr>
        <w:tab/>
        <w:t>64</w:t>
      </w:r>
      <w:r w:rsidRPr="006D0555">
        <w:rPr>
          <w:lang w:val="fr-FR"/>
        </w:rPr>
        <w:tab/>
      </w:r>
      <w:r w:rsidRPr="006D0555">
        <w:rPr>
          <w:lang w:val="fr-FR"/>
        </w:rPr>
        <w:tab/>
      </w:r>
      <w:r w:rsidRPr="006D0555">
        <w:rPr>
          <w:lang w:val="fr-FR"/>
        </w:rPr>
        <w:tab/>
      </w:r>
      <w:r w:rsidRPr="006D0555">
        <w:rPr>
          <w:lang w:val="fr-FR"/>
        </w:rPr>
        <w:tab/>
        <w:t>Patient 4</w:t>
      </w:r>
      <w:r w:rsidRPr="006D0555">
        <w:rPr>
          <w:lang w:val="fr-FR"/>
        </w:rPr>
        <w:tab/>
        <w:t>82</w:t>
      </w:r>
    </w:p>
    <w:p w:rsidR="00185DE9" w:rsidRPr="006D0555" w:rsidRDefault="00185DE9" w:rsidP="00185DE9">
      <w:pPr>
        <w:ind w:left="1440"/>
        <w:rPr>
          <w:lang w:val="fr-FR"/>
        </w:rPr>
      </w:pPr>
      <w:r w:rsidRPr="006D0555">
        <w:rPr>
          <w:u w:val="single"/>
          <w:lang w:val="fr-FR"/>
        </w:rPr>
        <w:t>Patient 9</w:t>
      </w:r>
      <w:r w:rsidRPr="006D0555">
        <w:rPr>
          <w:u w:val="single"/>
          <w:lang w:val="fr-FR"/>
        </w:rPr>
        <w:tab/>
        <w:t>70</w:t>
      </w:r>
      <w:r w:rsidRPr="006D0555">
        <w:rPr>
          <w:lang w:val="fr-FR"/>
        </w:rPr>
        <w:tab/>
      </w:r>
      <w:r w:rsidRPr="006D0555">
        <w:rPr>
          <w:lang w:val="fr-FR"/>
        </w:rPr>
        <w:tab/>
      </w:r>
      <w:r w:rsidRPr="006D0555">
        <w:rPr>
          <w:lang w:val="fr-FR"/>
        </w:rPr>
        <w:tab/>
      </w:r>
      <w:r w:rsidRPr="006D0555">
        <w:rPr>
          <w:lang w:val="fr-FR"/>
        </w:rPr>
        <w:tab/>
      </w:r>
      <w:r w:rsidRPr="006D0555">
        <w:rPr>
          <w:u w:val="single"/>
          <w:lang w:val="fr-FR"/>
        </w:rPr>
        <w:t>Patient 6</w:t>
      </w:r>
      <w:r w:rsidRPr="006D0555">
        <w:rPr>
          <w:u w:val="single"/>
          <w:lang w:val="fr-FR"/>
        </w:rPr>
        <w:tab/>
        <w:t>80</w:t>
      </w:r>
    </w:p>
    <w:p w:rsidR="00185DE9" w:rsidRPr="006D0555" w:rsidRDefault="00185DE9" w:rsidP="00185DE9">
      <w:pPr>
        <w:spacing w:after="200" w:line="276" w:lineRule="auto"/>
        <w:rPr>
          <w:lang w:val="fr-FR"/>
        </w:rPr>
      </w:pPr>
      <w:r w:rsidRPr="006D0555">
        <w:rPr>
          <w:lang w:val="fr-FR"/>
        </w:rPr>
        <w:tab/>
      </w:r>
      <w:r w:rsidRPr="006D0555">
        <w:rPr>
          <w:lang w:val="fr-FR"/>
        </w:rPr>
        <w:tab/>
      </w:r>
      <w:proofErr w:type="spellStart"/>
      <w:r w:rsidRPr="006D0555">
        <w:rPr>
          <w:lang w:val="fr-FR"/>
        </w:rPr>
        <w:t>Average</w:t>
      </w:r>
      <w:proofErr w:type="spellEnd"/>
      <w:r w:rsidRPr="006D0555">
        <w:rPr>
          <w:lang w:val="fr-FR"/>
        </w:rPr>
        <w:t xml:space="preserve"> </w:t>
      </w:r>
      <w:r w:rsidRPr="006D0555">
        <w:rPr>
          <w:lang w:val="fr-FR"/>
        </w:rPr>
        <w:tab/>
        <w:t>67</w:t>
      </w:r>
      <w:r w:rsidRPr="006D0555">
        <w:rPr>
          <w:lang w:val="fr-FR"/>
        </w:rPr>
        <w:tab/>
      </w:r>
      <w:r w:rsidRPr="006D0555">
        <w:rPr>
          <w:lang w:val="fr-FR"/>
        </w:rPr>
        <w:tab/>
      </w:r>
      <w:r w:rsidRPr="006D0555">
        <w:rPr>
          <w:lang w:val="fr-FR"/>
        </w:rPr>
        <w:tab/>
      </w:r>
      <w:r w:rsidRPr="006D0555">
        <w:rPr>
          <w:lang w:val="fr-FR"/>
        </w:rPr>
        <w:tab/>
      </w:r>
      <w:proofErr w:type="spellStart"/>
      <w:r w:rsidRPr="006D0555">
        <w:rPr>
          <w:lang w:val="fr-FR"/>
        </w:rPr>
        <w:t>Average</w:t>
      </w:r>
      <w:proofErr w:type="spellEnd"/>
      <w:r w:rsidRPr="006D0555">
        <w:rPr>
          <w:lang w:val="fr-FR"/>
        </w:rPr>
        <w:tab/>
        <w:t>81</w:t>
      </w:r>
    </w:p>
    <w:p w:rsidR="00185DE9" w:rsidRDefault="00185DE9" w:rsidP="00185DE9">
      <w:pPr>
        <w:spacing w:line="276" w:lineRule="auto"/>
        <w:ind w:left="720"/>
      </w:pPr>
      <w:r>
        <w:t>Age of Case 1</w:t>
      </w:r>
      <w:r w:rsidRPr="0030634F">
        <w:t xml:space="preserve"> - </w:t>
      </w:r>
      <w:proofErr w:type="gramStart"/>
      <w:r w:rsidRPr="0030634F">
        <w:t>μ(</w:t>
      </w:r>
      <w:proofErr w:type="gramEnd"/>
      <w:r w:rsidRPr="0030634F">
        <w:t xml:space="preserve">Case 1 Controls) = (65-67) </w:t>
      </w:r>
      <w:r w:rsidRPr="00182767">
        <w:t>= -2</w:t>
      </w:r>
    </w:p>
    <w:p w:rsidR="00185DE9" w:rsidRDefault="00185DE9" w:rsidP="00185DE9">
      <w:pPr>
        <w:spacing w:after="200" w:line="276" w:lineRule="auto"/>
        <w:ind w:left="720"/>
        <w:rPr>
          <w:bdr w:val="single" w:sz="4" w:space="0" w:color="auto"/>
        </w:rPr>
      </w:pPr>
      <w:r>
        <w:t>Age of Case 2</w:t>
      </w:r>
      <w:r w:rsidRPr="0030634F">
        <w:t xml:space="preserve"> - </w:t>
      </w:r>
      <w:proofErr w:type="gramStart"/>
      <w:r w:rsidRPr="0030634F">
        <w:t>μ</w:t>
      </w:r>
      <w:r>
        <w:t>(</w:t>
      </w:r>
      <w:proofErr w:type="gramEnd"/>
      <w:r>
        <w:t>Case 2</w:t>
      </w:r>
      <w:r w:rsidRPr="0030634F">
        <w:t xml:space="preserve"> Controls) </w:t>
      </w:r>
      <w:r>
        <w:t>= (84-81</w:t>
      </w:r>
      <w:r w:rsidRPr="0030634F">
        <w:t xml:space="preserve">) </w:t>
      </w:r>
      <w:r w:rsidRPr="00182767">
        <w:t xml:space="preserve">= </w:t>
      </w:r>
      <w:r w:rsidRPr="006D0555">
        <w:t xml:space="preserve"> 3</w:t>
      </w:r>
    </w:p>
    <w:p w:rsidR="00185DE9" w:rsidRDefault="00185DE9" w:rsidP="00185DE9">
      <w:r>
        <w:t>Step 3</w:t>
      </w:r>
      <w:r w:rsidRPr="001467A8">
        <w:t xml:space="preserve">: Calculate the </w:t>
      </w:r>
      <w:r>
        <w:t xml:space="preserve">average and standard deviation of the differences. </w:t>
      </w:r>
    </w:p>
    <w:p w:rsidR="00185DE9" w:rsidRDefault="00185DE9" w:rsidP="00185DE9">
      <w:pPr>
        <w:spacing w:line="276" w:lineRule="auto"/>
        <w:ind w:left="720"/>
      </w:pPr>
    </w:p>
    <w:p w:rsidR="00185DE9" w:rsidRDefault="00185DE9" w:rsidP="00185DE9">
      <w:pPr>
        <w:tabs>
          <w:tab w:val="left" w:pos="5490"/>
        </w:tabs>
        <w:spacing w:line="276" w:lineRule="auto"/>
        <w:ind w:left="720"/>
      </w:pPr>
      <w:proofErr w:type="gramStart"/>
      <w:r w:rsidRPr="00182767">
        <w:t>μ(</w:t>
      </w:r>
      <w:proofErr w:type="gramEnd"/>
      <w:r w:rsidRPr="00182767">
        <w:t>Difference)</w:t>
      </w:r>
      <w:r>
        <w:t xml:space="preserve"> =(-2+3)/2 </w:t>
      </w:r>
      <w:r>
        <w:tab/>
      </w:r>
      <w:r w:rsidRPr="00182767">
        <w:t>= 0.5</w:t>
      </w:r>
    </w:p>
    <w:p w:rsidR="00185DE9" w:rsidRDefault="00185DE9" w:rsidP="00185DE9">
      <w:pPr>
        <w:tabs>
          <w:tab w:val="left" w:pos="5490"/>
        </w:tabs>
        <w:spacing w:line="276" w:lineRule="auto"/>
        <w:ind w:left="720"/>
      </w:pPr>
      <w:r>
        <w:t xml:space="preserve">Standard Deviation (Difference) </w:t>
      </w:r>
      <w:r>
        <w:tab/>
      </w:r>
      <w:r w:rsidRPr="00182767">
        <w:t>= 3.5</w:t>
      </w:r>
    </w:p>
    <w:p w:rsidR="00185DE9" w:rsidRDefault="00185DE9" w:rsidP="00185DE9">
      <w:pPr>
        <w:tabs>
          <w:tab w:val="left" w:pos="5490"/>
        </w:tabs>
        <w:spacing w:line="276" w:lineRule="auto"/>
        <w:ind w:left="720"/>
      </w:pPr>
    </w:p>
    <w:p w:rsidR="00185DE9" w:rsidRDefault="00185DE9" w:rsidP="00185DE9">
      <w:pPr>
        <w:tabs>
          <w:tab w:val="left" w:pos="5490"/>
        </w:tabs>
        <w:spacing w:line="276" w:lineRule="auto"/>
      </w:pPr>
      <w:r w:rsidRPr="005F1F92">
        <w:t>Step 4:  The t-statistic is used to test if the mean of the differences is significantly different from zero</w:t>
      </w:r>
      <w:r>
        <w:t>.</w:t>
      </w:r>
    </w:p>
    <w:p w:rsidR="00185DE9" w:rsidRDefault="00185DE9" w:rsidP="00185DE9">
      <w:pPr>
        <w:tabs>
          <w:tab w:val="left" w:pos="5490"/>
        </w:tabs>
        <w:spacing w:line="276" w:lineRule="auto"/>
      </w:pPr>
    </w:p>
    <w:p w:rsidR="00185DE9" w:rsidRDefault="00185DE9" w:rsidP="00185DE9">
      <w:pPr>
        <w:tabs>
          <w:tab w:val="left" w:pos="7110"/>
        </w:tabs>
        <w:spacing w:line="276" w:lineRule="auto"/>
        <w:ind w:left="720"/>
      </w:pPr>
      <w:proofErr w:type="gramStart"/>
      <w:r w:rsidRPr="00C86C07">
        <w:t>t-statistic</w:t>
      </w:r>
      <w:proofErr w:type="gramEnd"/>
      <w:r w:rsidRPr="00C86C07">
        <w:t xml:space="preserve"> =  [ μ(Difference) - 0 ] / STD(difference) =</w:t>
      </w:r>
      <w:r>
        <w:t xml:space="preserve"> (0.5-0) / 3.5 </w:t>
      </w:r>
      <w:r>
        <w:tab/>
      </w:r>
      <w:r>
        <w:tab/>
        <w:t>= 0.14</w:t>
      </w:r>
    </w:p>
    <w:p w:rsidR="00185DE9" w:rsidRDefault="00185DE9" w:rsidP="00185DE9">
      <w:pPr>
        <w:tabs>
          <w:tab w:val="left" w:pos="5490"/>
        </w:tabs>
        <w:spacing w:line="276" w:lineRule="auto"/>
        <w:ind w:left="720"/>
      </w:pPr>
    </w:p>
    <w:p w:rsidR="00185DE9" w:rsidRDefault="00185DE9" w:rsidP="00185DE9">
      <w:pPr>
        <w:tabs>
          <w:tab w:val="left" w:pos="5940"/>
          <w:tab w:val="left" w:pos="7110"/>
        </w:tabs>
        <w:spacing w:line="276" w:lineRule="auto"/>
        <w:ind w:left="4140"/>
      </w:pPr>
      <w:r>
        <w:tab/>
      </w:r>
      <w:proofErr w:type="gramStart"/>
      <w:r>
        <w:t>t(</w:t>
      </w:r>
      <w:proofErr w:type="gramEnd"/>
      <w:r>
        <w:t xml:space="preserve">0.14, 4 </w:t>
      </w:r>
      <w:r w:rsidRPr="006D0555">
        <w:rPr>
          <w:i/>
        </w:rPr>
        <w:t>df</w:t>
      </w:r>
      <w:r>
        <w:t>)</w:t>
      </w:r>
      <w:r>
        <w:tab/>
      </w:r>
      <w:r>
        <w:tab/>
        <w:t>= 0.64</w:t>
      </w:r>
    </w:p>
    <w:p w:rsidR="00185DE9" w:rsidRDefault="00185DE9" w:rsidP="00185DE9">
      <w:pPr>
        <w:tabs>
          <w:tab w:val="left" w:pos="5940"/>
          <w:tab w:val="left" w:pos="7110"/>
        </w:tabs>
        <w:spacing w:line="276" w:lineRule="auto"/>
        <w:ind w:left="4140"/>
      </w:pPr>
    </w:p>
    <w:p w:rsidR="00185DE9" w:rsidRDefault="00185DE9" w:rsidP="00185DE9">
      <w:pPr>
        <w:tabs>
          <w:tab w:val="left" w:pos="5940"/>
          <w:tab w:val="left" w:pos="7110"/>
        </w:tabs>
        <w:spacing w:line="276" w:lineRule="auto"/>
        <w:ind w:left="1440"/>
      </w:pPr>
      <w:proofErr w:type="gramStart"/>
      <w:r>
        <w:t>t(</w:t>
      </w:r>
      <w:proofErr w:type="gramEnd"/>
      <w:r>
        <w:t>Two-</w:t>
      </w:r>
      <w:r w:rsidRPr="00C86C07">
        <w:t xml:space="preserve">Tail Test, 0.05 Significance, 4 Degrees of Freedom) </w:t>
      </w:r>
      <w:r>
        <w:tab/>
      </w:r>
      <w:r w:rsidRPr="00C86C07">
        <w:t>=</w:t>
      </w:r>
      <w:r>
        <w:t xml:space="preserve"> 2.78</w:t>
      </w:r>
    </w:p>
    <w:p w:rsidR="00185DE9" w:rsidRDefault="00185DE9" w:rsidP="00185DE9">
      <w:pPr>
        <w:tabs>
          <w:tab w:val="left" w:pos="5940"/>
          <w:tab w:val="left" w:pos="7110"/>
        </w:tabs>
        <w:spacing w:line="276" w:lineRule="auto"/>
        <w:ind w:left="1440"/>
      </w:pPr>
    </w:p>
    <w:p w:rsidR="00185DE9" w:rsidRDefault="00185DE9" w:rsidP="00185DE9">
      <w:pPr>
        <w:tabs>
          <w:tab w:val="left" w:pos="5940"/>
          <w:tab w:val="left" w:pos="7110"/>
        </w:tabs>
        <w:spacing w:line="276" w:lineRule="auto"/>
        <w:ind w:left="720"/>
      </w:pPr>
      <w:r w:rsidRPr="00C86C07">
        <w:t xml:space="preserve">The t-statistic of 0.64 is less than the t-value of 2.78 so we fail to reject the </w:t>
      </w:r>
      <w:r>
        <w:t>null hypothesis that there is no</w:t>
      </w:r>
      <w:r w:rsidRPr="00C86C07">
        <w:t xml:space="preserve"> statistical difference between the average ages of patients in the case and control groups.</w:t>
      </w:r>
    </w:p>
    <w:p w:rsidR="00185DE9" w:rsidRDefault="00185DE9" w:rsidP="00185DE9">
      <w:pPr>
        <w:tabs>
          <w:tab w:val="left" w:pos="5490"/>
          <w:tab w:val="left" w:pos="7110"/>
        </w:tabs>
        <w:spacing w:line="276" w:lineRule="auto"/>
        <w:ind w:left="4140"/>
      </w:pPr>
    </w:p>
    <w:p w:rsidR="003E7C2A" w:rsidRDefault="003E7C2A">
      <w:pPr>
        <w:spacing w:after="200" w:line="276" w:lineRule="auto"/>
        <w:rPr>
          <w:rFonts w:ascii="Cambria" w:hAnsi="Cambria"/>
          <w:b/>
          <w:bCs/>
          <w:color w:val="365F91"/>
          <w:sz w:val="28"/>
          <w:szCs w:val="28"/>
        </w:rPr>
      </w:pPr>
      <w:r>
        <w:br w:type="page"/>
      </w:r>
    </w:p>
    <w:p w:rsidR="00D7645E" w:rsidRPr="00784354" w:rsidRDefault="00D7645E" w:rsidP="00D7645E">
      <w:pPr>
        <w:pStyle w:val="Heading1"/>
      </w:pPr>
      <w:r w:rsidRPr="00A46A91">
        <w:t>References</w:t>
      </w:r>
      <w:bookmarkEnd w:id="1"/>
      <w:bookmarkEnd w:id="14"/>
    </w:p>
    <w:p w:rsidR="00FC5808" w:rsidRDefault="00FC5808"/>
    <w:sectPr w:rsidR="00FC5808" w:rsidSect="00FC5808">
      <w:footerReference w:type="default" r:id="rId41"/>
      <w:endnotePr>
        <w:numFmt w:val="decimal"/>
      </w:endnotePr>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EA0" w:rsidRDefault="00E96EA0" w:rsidP="00D7645E">
      <w:r>
        <w:separator/>
      </w:r>
    </w:p>
  </w:endnote>
  <w:endnote w:type="continuationSeparator" w:id="0">
    <w:p w:rsidR="00E96EA0" w:rsidRDefault="00E96EA0" w:rsidP="00D7645E">
      <w:r>
        <w:continuationSeparator/>
      </w:r>
    </w:p>
  </w:endnote>
  <w:endnote w:id="1">
    <w:p w:rsidR="00FB0029" w:rsidRPr="00455988" w:rsidRDefault="00FB0029" w:rsidP="00231350">
      <w:pPr>
        <w:pStyle w:val="EndnoteText"/>
        <w:ind w:left="720" w:hanging="720"/>
        <w:rPr>
          <w:sz w:val="24"/>
          <w:szCs w:val="24"/>
        </w:rPr>
      </w:pPr>
      <w:r w:rsidRPr="00455988">
        <w:rPr>
          <w:rStyle w:val="EndnoteReference"/>
          <w:sz w:val="24"/>
          <w:szCs w:val="24"/>
        </w:rPr>
        <w:endnoteRef/>
      </w:r>
      <w:r w:rsidRPr="00455988">
        <w:rPr>
          <w:sz w:val="24"/>
          <w:szCs w:val="24"/>
        </w:rPr>
        <w:t xml:space="preserve"> </w:t>
      </w:r>
      <w:r w:rsidRPr="00455988">
        <w:rPr>
          <w:sz w:val="24"/>
          <w:szCs w:val="24"/>
        </w:rPr>
        <w:tab/>
      </w:r>
      <w:proofErr w:type="gramStart"/>
      <w:r w:rsidRPr="00455988">
        <w:rPr>
          <w:sz w:val="24"/>
          <w:szCs w:val="24"/>
        </w:rPr>
        <w:t>IOM.</w:t>
      </w:r>
      <w:proofErr w:type="gramEnd"/>
      <w:r w:rsidRPr="00455988">
        <w:rPr>
          <w:sz w:val="24"/>
          <w:szCs w:val="24"/>
        </w:rPr>
        <w:t xml:space="preserve">  Digital data improvement priorities for continuous learning in health and health care.  </w:t>
      </w:r>
      <w:proofErr w:type="gramStart"/>
      <w:r w:rsidRPr="00455988">
        <w:rPr>
          <w:sz w:val="24"/>
          <w:szCs w:val="24"/>
        </w:rPr>
        <w:t>The National Academic Press, Washington DC, 2013.</w:t>
      </w:r>
      <w:proofErr w:type="gramEnd"/>
    </w:p>
  </w:endnote>
  <w:endnote w:id="2">
    <w:p w:rsidR="00FB0029" w:rsidRPr="00455988" w:rsidRDefault="00FB0029" w:rsidP="00D7645E">
      <w:pPr>
        <w:pStyle w:val="EndnoteText"/>
        <w:ind w:left="720" w:hanging="720"/>
        <w:rPr>
          <w:sz w:val="24"/>
          <w:szCs w:val="24"/>
        </w:rPr>
      </w:pPr>
      <w:r w:rsidRPr="00455988">
        <w:rPr>
          <w:rStyle w:val="EndnoteReference"/>
          <w:sz w:val="24"/>
          <w:szCs w:val="24"/>
        </w:rPr>
        <w:endnoteRef/>
      </w:r>
      <w:r w:rsidRPr="00455988">
        <w:rPr>
          <w:sz w:val="24"/>
          <w:szCs w:val="24"/>
        </w:rPr>
        <w:t xml:space="preserve"> </w:t>
      </w:r>
      <w:r w:rsidRPr="00455988">
        <w:rPr>
          <w:sz w:val="24"/>
          <w:szCs w:val="24"/>
        </w:rPr>
        <w:tab/>
      </w:r>
      <w:proofErr w:type="spellStart"/>
      <w:proofErr w:type="gramStart"/>
      <w:r w:rsidRPr="00455988">
        <w:rPr>
          <w:sz w:val="24"/>
          <w:szCs w:val="24"/>
        </w:rPr>
        <w:t>Cuttino</w:t>
      </w:r>
      <w:proofErr w:type="spellEnd"/>
      <w:r w:rsidRPr="00455988">
        <w:rPr>
          <w:sz w:val="24"/>
          <w:szCs w:val="24"/>
        </w:rPr>
        <w:t xml:space="preserve"> </w:t>
      </w:r>
      <w:proofErr w:type="spellStart"/>
      <w:r w:rsidRPr="00455988">
        <w:rPr>
          <w:sz w:val="24"/>
          <w:szCs w:val="24"/>
        </w:rPr>
        <w:t>LW</w:t>
      </w:r>
      <w:proofErr w:type="spellEnd"/>
      <w:r w:rsidRPr="00455988">
        <w:rPr>
          <w:sz w:val="24"/>
          <w:szCs w:val="24"/>
        </w:rPr>
        <w:t xml:space="preserve">, Khan A, </w:t>
      </w:r>
      <w:proofErr w:type="spellStart"/>
      <w:r w:rsidRPr="00455988">
        <w:rPr>
          <w:sz w:val="24"/>
          <w:szCs w:val="24"/>
        </w:rPr>
        <w:t>Wazer</w:t>
      </w:r>
      <w:proofErr w:type="spellEnd"/>
      <w:r w:rsidRPr="00455988">
        <w:rPr>
          <w:sz w:val="24"/>
          <w:szCs w:val="24"/>
        </w:rPr>
        <w:t xml:space="preserve"> DE, Arthur DW, </w:t>
      </w:r>
      <w:proofErr w:type="spellStart"/>
      <w:r w:rsidRPr="00455988">
        <w:rPr>
          <w:sz w:val="24"/>
          <w:szCs w:val="24"/>
        </w:rPr>
        <w:t>Vicini</w:t>
      </w:r>
      <w:proofErr w:type="spellEnd"/>
      <w:r w:rsidRPr="00455988">
        <w:rPr>
          <w:sz w:val="24"/>
          <w:szCs w:val="24"/>
        </w:rPr>
        <w:t xml:space="preserve"> FA.</w:t>
      </w:r>
      <w:proofErr w:type="gramEnd"/>
      <w:r w:rsidRPr="00455988">
        <w:rPr>
          <w:sz w:val="24"/>
          <w:szCs w:val="24"/>
        </w:rPr>
        <w:t xml:space="preserve"> </w:t>
      </w:r>
      <w:proofErr w:type="gramStart"/>
      <w:r w:rsidRPr="00455988">
        <w:rPr>
          <w:sz w:val="24"/>
          <w:szCs w:val="24"/>
        </w:rPr>
        <w:t>When retrospective comparative effectiveness research hinders science and patient-centered care.</w:t>
      </w:r>
      <w:proofErr w:type="gramEnd"/>
      <w:r w:rsidRPr="00455988">
        <w:rPr>
          <w:sz w:val="24"/>
          <w:szCs w:val="24"/>
        </w:rPr>
        <w:t xml:space="preserve"> </w:t>
      </w:r>
      <w:proofErr w:type="gramStart"/>
      <w:r w:rsidRPr="00455988">
        <w:rPr>
          <w:sz w:val="24"/>
          <w:szCs w:val="24"/>
        </w:rPr>
        <w:t xml:space="preserve">J </w:t>
      </w:r>
      <w:proofErr w:type="spellStart"/>
      <w:r w:rsidRPr="00455988">
        <w:rPr>
          <w:sz w:val="24"/>
          <w:szCs w:val="24"/>
        </w:rPr>
        <w:t>Clin</w:t>
      </w:r>
      <w:proofErr w:type="spellEnd"/>
      <w:r w:rsidRPr="00455988">
        <w:rPr>
          <w:sz w:val="24"/>
          <w:szCs w:val="24"/>
        </w:rPr>
        <w:t xml:space="preserve"> </w:t>
      </w:r>
      <w:proofErr w:type="spellStart"/>
      <w:r w:rsidRPr="00455988">
        <w:rPr>
          <w:sz w:val="24"/>
          <w:szCs w:val="24"/>
        </w:rPr>
        <w:t>Oncol</w:t>
      </w:r>
      <w:proofErr w:type="spellEnd"/>
      <w:r w:rsidRPr="00455988">
        <w:rPr>
          <w:sz w:val="24"/>
          <w:szCs w:val="24"/>
        </w:rPr>
        <w:t>.</w:t>
      </w:r>
      <w:proofErr w:type="gramEnd"/>
      <w:r w:rsidRPr="00455988">
        <w:rPr>
          <w:sz w:val="24"/>
          <w:szCs w:val="24"/>
        </w:rPr>
        <w:t xml:space="preserve"> 2013 Jun 10</w:t>
      </w:r>
      <w:proofErr w:type="gramStart"/>
      <w:r w:rsidRPr="00455988">
        <w:rPr>
          <w:sz w:val="24"/>
          <w:szCs w:val="24"/>
        </w:rPr>
        <w:t>;31</w:t>
      </w:r>
      <w:proofErr w:type="gramEnd"/>
      <w:r w:rsidRPr="00455988">
        <w:rPr>
          <w:sz w:val="24"/>
          <w:szCs w:val="24"/>
        </w:rPr>
        <w:t>(17):2226-7.</w:t>
      </w:r>
    </w:p>
  </w:endnote>
  <w:endnote w:id="3">
    <w:p w:rsidR="00FB0029" w:rsidRPr="00DC14B5" w:rsidRDefault="00FB0029" w:rsidP="00D7645E">
      <w:pPr>
        <w:pStyle w:val="EndnoteText"/>
        <w:ind w:left="720" w:hanging="720"/>
        <w:rPr>
          <w:sz w:val="24"/>
          <w:szCs w:val="24"/>
        </w:rPr>
      </w:pPr>
      <w:r w:rsidRPr="00455988">
        <w:rPr>
          <w:rStyle w:val="EndnoteReference"/>
          <w:sz w:val="24"/>
          <w:szCs w:val="24"/>
        </w:rPr>
        <w:endnoteRef/>
      </w:r>
      <w:r w:rsidRPr="00455988">
        <w:rPr>
          <w:sz w:val="24"/>
          <w:szCs w:val="24"/>
        </w:rPr>
        <w:t xml:space="preserve"> </w:t>
      </w:r>
      <w:r w:rsidRPr="00455988">
        <w:rPr>
          <w:sz w:val="24"/>
          <w:szCs w:val="24"/>
        </w:rPr>
        <w:tab/>
      </w:r>
      <w:proofErr w:type="spellStart"/>
      <w:r w:rsidRPr="00455988">
        <w:rPr>
          <w:sz w:val="24"/>
          <w:szCs w:val="24"/>
        </w:rPr>
        <w:t>Lohr</w:t>
      </w:r>
      <w:proofErr w:type="spellEnd"/>
      <w:r w:rsidRPr="00455988">
        <w:rPr>
          <w:sz w:val="24"/>
          <w:szCs w:val="24"/>
        </w:rPr>
        <w:t xml:space="preserve"> KN. </w:t>
      </w:r>
      <w:r w:rsidRPr="00DC14B5">
        <w:rPr>
          <w:sz w:val="24"/>
          <w:szCs w:val="24"/>
        </w:rPr>
        <w:t xml:space="preserve">Comparative effectiveness research methods: symposium overview and summary. </w:t>
      </w:r>
      <w:proofErr w:type="gramStart"/>
      <w:r w:rsidRPr="00DC14B5">
        <w:rPr>
          <w:sz w:val="24"/>
          <w:szCs w:val="24"/>
        </w:rPr>
        <w:t>Med Care.</w:t>
      </w:r>
      <w:proofErr w:type="gramEnd"/>
      <w:r w:rsidRPr="00DC14B5">
        <w:rPr>
          <w:sz w:val="24"/>
          <w:szCs w:val="24"/>
        </w:rPr>
        <w:t xml:space="preserve"> 2010 Jun; 48(6 </w:t>
      </w:r>
      <w:proofErr w:type="spellStart"/>
      <w:r w:rsidRPr="00DC14B5">
        <w:rPr>
          <w:sz w:val="24"/>
          <w:szCs w:val="24"/>
        </w:rPr>
        <w:t>Suppl</w:t>
      </w:r>
      <w:proofErr w:type="spellEnd"/>
      <w:r w:rsidRPr="00DC14B5">
        <w:rPr>
          <w:sz w:val="24"/>
          <w:szCs w:val="24"/>
        </w:rPr>
        <w:t>): S3-6.</w:t>
      </w:r>
    </w:p>
  </w:endnote>
  <w:endnote w:id="4">
    <w:p w:rsidR="00FB0029" w:rsidRPr="00DC14B5" w:rsidRDefault="00FB0029" w:rsidP="004807BD">
      <w:pPr>
        <w:autoSpaceDE w:val="0"/>
        <w:autoSpaceDN w:val="0"/>
        <w:adjustRightInd w:val="0"/>
        <w:ind w:left="720" w:hanging="720"/>
        <w:rPr>
          <w:rFonts w:ascii="GillSans" w:eastAsiaTheme="minorHAnsi" w:hAnsi="GillSans" w:cs="GillSans"/>
          <w:szCs w:val="24"/>
        </w:rPr>
      </w:pPr>
      <w:r w:rsidRPr="00DC14B5">
        <w:rPr>
          <w:rStyle w:val="EndnoteReference"/>
          <w:szCs w:val="24"/>
        </w:rPr>
        <w:endnoteRef/>
      </w:r>
      <w:r w:rsidRPr="00DC14B5">
        <w:rPr>
          <w:szCs w:val="24"/>
        </w:rPr>
        <w:t xml:space="preserve"> </w:t>
      </w:r>
      <w:r w:rsidRPr="00DC14B5">
        <w:rPr>
          <w:szCs w:val="24"/>
        </w:rPr>
        <w:tab/>
      </w:r>
      <w:proofErr w:type="gramStart"/>
      <w:r w:rsidRPr="00DC14B5">
        <w:rPr>
          <w:rFonts w:eastAsiaTheme="minorHAnsi"/>
          <w:szCs w:val="24"/>
        </w:rPr>
        <w:t xml:space="preserve">Berger M., </w:t>
      </w:r>
      <w:proofErr w:type="spellStart"/>
      <w:r w:rsidRPr="00DC14B5">
        <w:rPr>
          <w:rFonts w:eastAsiaTheme="minorHAnsi"/>
          <w:szCs w:val="24"/>
        </w:rPr>
        <w:t>Mamdani</w:t>
      </w:r>
      <w:proofErr w:type="spellEnd"/>
      <w:r w:rsidRPr="00DC14B5">
        <w:rPr>
          <w:rFonts w:eastAsiaTheme="minorHAnsi"/>
          <w:szCs w:val="24"/>
        </w:rPr>
        <w:t xml:space="preserve"> M, Atkins D., Johnson M. 2009.</w:t>
      </w:r>
      <w:proofErr w:type="gramEnd"/>
      <w:r w:rsidRPr="00DC14B5">
        <w:rPr>
          <w:rFonts w:eastAsiaTheme="minorHAnsi"/>
          <w:szCs w:val="24"/>
        </w:rPr>
        <w:t xml:space="preserve"> “</w:t>
      </w:r>
      <w:r w:rsidRPr="00DC14B5">
        <w:rPr>
          <w:rFonts w:eastAsiaTheme="minorHAnsi"/>
          <w:bCs/>
          <w:szCs w:val="24"/>
        </w:rPr>
        <w:t xml:space="preserve">Good Research Practices for Comparative Effectiveness Research: Defining, Reporting and Interpreting Nonrandomized Studies of Treatment Effects Using Secondary Data Sources: The </w:t>
      </w:r>
      <w:proofErr w:type="spellStart"/>
      <w:r w:rsidRPr="00DC14B5">
        <w:rPr>
          <w:rFonts w:eastAsiaTheme="minorHAnsi"/>
          <w:bCs/>
          <w:szCs w:val="24"/>
        </w:rPr>
        <w:t>ISPOR</w:t>
      </w:r>
      <w:proofErr w:type="spellEnd"/>
      <w:r w:rsidRPr="00DC14B5">
        <w:rPr>
          <w:rFonts w:eastAsiaTheme="minorHAnsi"/>
          <w:bCs/>
          <w:szCs w:val="24"/>
        </w:rPr>
        <w:t xml:space="preserve"> Good Research Practices for Retrospective Database Analysis Task Force Report—Part I,” Value in Health, Volume 12, </w:t>
      </w:r>
      <w:proofErr w:type="gramStart"/>
      <w:r w:rsidRPr="00DC14B5">
        <w:rPr>
          <w:rFonts w:eastAsiaTheme="minorHAnsi"/>
          <w:bCs/>
          <w:szCs w:val="24"/>
        </w:rPr>
        <w:t>Number</w:t>
      </w:r>
      <w:proofErr w:type="gramEnd"/>
      <w:r w:rsidRPr="00DC14B5">
        <w:rPr>
          <w:rFonts w:eastAsiaTheme="minorHAnsi"/>
          <w:bCs/>
          <w:szCs w:val="24"/>
        </w:rPr>
        <w:t xml:space="preserve"> 8.</w:t>
      </w:r>
    </w:p>
  </w:endnote>
  <w:endnote w:id="5">
    <w:p w:rsidR="00FB0029" w:rsidRDefault="00FB0029" w:rsidP="00701364">
      <w:pPr>
        <w:pStyle w:val="EndnoteText"/>
        <w:ind w:left="720" w:hanging="720"/>
      </w:pPr>
      <w:r>
        <w:rPr>
          <w:rStyle w:val="EndnoteReference"/>
        </w:rPr>
        <w:endnoteRef/>
      </w:r>
      <w:r>
        <w:t xml:space="preserve"> </w:t>
      </w:r>
      <w:r>
        <w:tab/>
      </w:r>
      <w:proofErr w:type="spellStart"/>
      <w:r>
        <w:rPr>
          <w:sz w:val="24"/>
          <w:szCs w:val="24"/>
        </w:rPr>
        <w:t>Hagedorn</w:t>
      </w:r>
      <w:proofErr w:type="spellEnd"/>
      <w:r>
        <w:rPr>
          <w:sz w:val="24"/>
          <w:szCs w:val="24"/>
        </w:rPr>
        <w:t xml:space="preserve">, G. (2002). </w:t>
      </w:r>
      <w:r>
        <w:rPr>
          <w:i/>
          <w:iCs/>
          <w:sz w:val="24"/>
          <w:szCs w:val="24"/>
        </w:rPr>
        <w:t xml:space="preserve">Preview of </w:t>
      </w:r>
      <w:proofErr w:type="spellStart"/>
      <w:proofErr w:type="gramStart"/>
      <w:r>
        <w:rPr>
          <w:i/>
          <w:iCs/>
          <w:sz w:val="24"/>
          <w:szCs w:val="24"/>
        </w:rPr>
        <w:t>deltaaccess</w:t>
      </w:r>
      <w:proofErr w:type="spellEnd"/>
      <w:r>
        <w:rPr>
          <w:i/>
          <w:iCs/>
          <w:sz w:val="24"/>
          <w:szCs w:val="24"/>
        </w:rPr>
        <w:t xml:space="preserve"> </w:t>
      </w:r>
      <w:r>
        <w:rPr>
          <w:sz w:val="24"/>
          <w:szCs w:val="24"/>
        </w:rPr>
        <w:t>.</w:t>
      </w:r>
      <w:proofErr w:type="gramEnd"/>
      <w:r>
        <w:rPr>
          <w:sz w:val="24"/>
          <w:szCs w:val="24"/>
        </w:rPr>
        <w:t xml:space="preserve"> Retrieved from http://diversityworkbench.net/OldModels/Descriptions/Docu160/PREVIEW_DELTAACCESS.HTML</w:t>
      </w:r>
    </w:p>
  </w:endnote>
  <w:endnote w:id="6">
    <w:p w:rsidR="00FB0029" w:rsidRPr="00DC14B5" w:rsidRDefault="00FB0029" w:rsidP="004807BD">
      <w:pPr>
        <w:pStyle w:val="FootnoteText"/>
        <w:ind w:left="720" w:hanging="720"/>
        <w:rPr>
          <w:sz w:val="24"/>
          <w:szCs w:val="24"/>
        </w:rPr>
      </w:pPr>
      <w:r w:rsidRPr="00DC14B5">
        <w:rPr>
          <w:rStyle w:val="EndnoteReference"/>
          <w:sz w:val="24"/>
          <w:szCs w:val="24"/>
        </w:rPr>
        <w:endnoteRef/>
      </w:r>
      <w:r w:rsidRPr="00DC14B5">
        <w:rPr>
          <w:sz w:val="24"/>
          <w:szCs w:val="24"/>
        </w:rPr>
        <w:t xml:space="preserve"> </w:t>
      </w:r>
      <w:r w:rsidRPr="00DC14B5">
        <w:rPr>
          <w:sz w:val="24"/>
          <w:szCs w:val="24"/>
        </w:rPr>
        <w:tab/>
      </w:r>
      <w:proofErr w:type="gramStart"/>
      <w:r w:rsidRPr="00DC14B5">
        <w:rPr>
          <w:sz w:val="24"/>
          <w:szCs w:val="24"/>
        </w:rPr>
        <w:t>Schwarz ,</w:t>
      </w:r>
      <w:proofErr w:type="gramEnd"/>
      <w:r w:rsidRPr="00DC14B5">
        <w:rPr>
          <w:sz w:val="24"/>
          <w:szCs w:val="24"/>
        </w:rPr>
        <w:t xml:space="preserve"> J. (2010, October 12). </w:t>
      </w:r>
      <w:proofErr w:type="gramStart"/>
      <w:r w:rsidRPr="00DC14B5">
        <w:rPr>
          <w:sz w:val="24"/>
          <w:szCs w:val="24"/>
        </w:rPr>
        <w:t>[Web log message].</w:t>
      </w:r>
      <w:proofErr w:type="gramEnd"/>
      <w:r w:rsidRPr="00DC14B5">
        <w:rPr>
          <w:sz w:val="24"/>
          <w:szCs w:val="24"/>
        </w:rPr>
        <w:t xml:space="preserve"> Retrieved from http://healthcaresecurity.wordpress.com/2010/10/12/why-are-hierarchical-databases-like-mumps-still-popular-in-healthcare/</w:t>
      </w:r>
    </w:p>
  </w:endnote>
  <w:endnote w:id="7">
    <w:p w:rsidR="00FB0029" w:rsidRPr="00DC14B5" w:rsidRDefault="00FB0029" w:rsidP="00DC14B5">
      <w:pPr>
        <w:pStyle w:val="TextTimesRom11"/>
        <w:tabs>
          <w:tab w:val="left" w:pos="1701"/>
          <w:tab w:val="left" w:pos="4678"/>
        </w:tabs>
        <w:spacing w:line="276" w:lineRule="auto"/>
        <w:ind w:left="720" w:hanging="720"/>
        <w:rPr>
          <w:sz w:val="24"/>
          <w:szCs w:val="24"/>
        </w:rPr>
      </w:pPr>
      <w:r w:rsidRPr="00DC14B5">
        <w:rPr>
          <w:rStyle w:val="EndnoteReference"/>
          <w:sz w:val="24"/>
          <w:szCs w:val="24"/>
        </w:rPr>
        <w:endnoteRef/>
      </w:r>
      <w:r w:rsidRPr="00DC14B5">
        <w:rPr>
          <w:sz w:val="24"/>
          <w:szCs w:val="24"/>
        </w:rPr>
        <w:t xml:space="preserve"> </w:t>
      </w:r>
      <w:r w:rsidRPr="00DC14B5">
        <w:rPr>
          <w:sz w:val="24"/>
          <w:szCs w:val="24"/>
        </w:rPr>
        <w:tab/>
        <w:t xml:space="preserve">Newsom, S. W. B. (2006). Pioneers in infection control: John snow, </w:t>
      </w:r>
      <w:proofErr w:type="spellStart"/>
      <w:r w:rsidRPr="00DC14B5">
        <w:rPr>
          <w:sz w:val="24"/>
          <w:szCs w:val="24"/>
        </w:rPr>
        <w:t>henry</w:t>
      </w:r>
      <w:proofErr w:type="spellEnd"/>
      <w:r w:rsidRPr="00DC14B5">
        <w:rPr>
          <w:sz w:val="24"/>
          <w:szCs w:val="24"/>
        </w:rPr>
        <w:t xml:space="preserve">. </w:t>
      </w:r>
      <w:r w:rsidRPr="00DC14B5">
        <w:rPr>
          <w:i/>
          <w:iCs/>
          <w:sz w:val="24"/>
          <w:szCs w:val="24"/>
        </w:rPr>
        <w:t>Journal of Hospital Infection</w:t>
      </w:r>
      <w:r w:rsidRPr="00DC14B5">
        <w:rPr>
          <w:sz w:val="24"/>
          <w:szCs w:val="24"/>
        </w:rPr>
        <w:t xml:space="preserve">, </w:t>
      </w:r>
      <w:r w:rsidRPr="00DC14B5">
        <w:rPr>
          <w:i/>
          <w:iCs/>
          <w:sz w:val="24"/>
          <w:szCs w:val="24"/>
        </w:rPr>
        <w:t>64</w:t>
      </w:r>
      <w:r w:rsidRPr="00DC14B5">
        <w:rPr>
          <w:sz w:val="24"/>
          <w:szCs w:val="24"/>
        </w:rPr>
        <w:t>, 210-216. doi: 10.1016/j.jhin.2006.05.020</w:t>
      </w:r>
    </w:p>
  </w:endnote>
  <w:endnote w:id="8">
    <w:p w:rsidR="00FB0029" w:rsidRPr="00DC14B5" w:rsidRDefault="00FB0029">
      <w:pPr>
        <w:pStyle w:val="EndnoteText"/>
        <w:ind w:left="720" w:hanging="720"/>
        <w:rPr>
          <w:sz w:val="24"/>
          <w:szCs w:val="24"/>
        </w:rPr>
      </w:pPr>
      <w:r w:rsidRPr="00DC14B5">
        <w:rPr>
          <w:rStyle w:val="EndnoteReference"/>
          <w:sz w:val="24"/>
          <w:szCs w:val="24"/>
        </w:rPr>
        <w:endnoteRef/>
      </w:r>
      <w:r w:rsidRPr="00DC14B5">
        <w:rPr>
          <w:sz w:val="24"/>
          <w:szCs w:val="24"/>
        </w:rPr>
        <w:t xml:space="preserve"> </w:t>
      </w:r>
      <w:r w:rsidRPr="00DC14B5">
        <w:rPr>
          <w:sz w:val="24"/>
          <w:szCs w:val="24"/>
        </w:rPr>
        <w:tab/>
      </w:r>
      <w:proofErr w:type="spellStart"/>
      <w:proofErr w:type="gramStart"/>
      <w:r w:rsidRPr="00DC14B5">
        <w:rPr>
          <w:sz w:val="24"/>
          <w:szCs w:val="24"/>
        </w:rPr>
        <w:t>Paneth</w:t>
      </w:r>
      <w:proofErr w:type="spellEnd"/>
      <w:r w:rsidRPr="00DC14B5">
        <w:rPr>
          <w:sz w:val="24"/>
          <w:szCs w:val="24"/>
        </w:rPr>
        <w:t xml:space="preserve">, N., </w:t>
      </w:r>
      <w:proofErr w:type="spellStart"/>
      <w:r w:rsidRPr="00DC14B5">
        <w:rPr>
          <w:sz w:val="24"/>
          <w:szCs w:val="24"/>
        </w:rPr>
        <w:t>Susser</w:t>
      </w:r>
      <w:proofErr w:type="spellEnd"/>
      <w:r w:rsidRPr="00DC14B5">
        <w:rPr>
          <w:sz w:val="24"/>
          <w:szCs w:val="24"/>
        </w:rPr>
        <w:t xml:space="preserve">, E., &amp; </w:t>
      </w:r>
      <w:proofErr w:type="spellStart"/>
      <w:r w:rsidRPr="00DC14B5">
        <w:rPr>
          <w:sz w:val="24"/>
          <w:szCs w:val="24"/>
        </w:rPr>
        <w:t>Susser</w:t>
      </w:r>
      <w:proofErr w:type="spellEnd"/>
      <w:r w:rsidRPr="00DC14B5">
        <w:rPr>
          <w:sz w:val="24"/>
          <w:szCs w:val="24"/>
        </w:rPr>
        <w:t>, M. (2002).</w:t>
      </w:r>
      <w:proofErr w:type="gramEnd"/>
      <w:r w:rsidRPr="00DC14B5">
        <w:rPr>
          <w:sz w:val="24"/>
          <w:szCs w:val="24"/>
        </w:rPr>
        <w:t xml:space="preserve"> Origins and early development of the case-control study</w:t>
      </w:r>
      <w:proofErr w:type="gramStart"/>
      <w:r w:rsidRPr="00DC14B5">
        <w:rPr>
          <w:sz w:val="24"/>
          <w:szCs w:val="24"/>
        </w:rPr>
        <w:t>:.</w:t>
      </w:r>
      <w:proofErr w:type="gramEnd"/>
      <w:r w:rsidRPr="00DC14B5">
        <w:rPr>
          <w:sz w:val="24"/>
          <w:szCs w:val="24"/>
        </w:rPr>
        <w:t xml:space="preserve"> </w:t>
      </w:r>
      <w:r w:rsidRPr="00DC14B5">
        <w:rPr>
          <w:i/>
          <w:iCs/>
          <w:sz w:val="24"/>
          <w:szCs w:val="24"/>
        </w:rPr>
        <w:t>Journal of Epidemiology and Community Health</w:t>
      </w:r>
      <w:r w:rsidRPr="00DC14B5">
        <w:rPr>
          <w:sz w:val="24"/>
          <w:szCs w:val="24"/>
        </w:rPr>
        <w:t xml:space="preserve">, </w:t>
      </w:r>
      <w:r w:rsidRPr="00DC14B5">
        <w:rPr>
          <w:i/>
          <w:iCs/>
          <w:sz w:val="24"/>
          <w:szCs w:val="24"/>
        </w:rPr>
        <w:t>47</w:t>
      </w:r>
      <w:r w:rsidRPr="00DC14B5">
        <w:rPr>
          <w:sz w:val="24"/>
          <w:szCs w:val="24"/>
        </w:rPr>
        <w:t xml:space="preserve">, 359–365. Retrieved from http://www.epidemiology.ch/history/papers/SPM 47(6) 359-65 </w:t>
      </w:r>
      <w:proofErr w:type="spellStart"/>
      <w:r w:rsidRPr="00DC14B5">
        <w:rPr>
          <w:sz w:val="24"/>
          <w:szCs w:val="24"/>
        </w:rPr>
        <w:t>Paneth</w:t>
      </w:r>
      <w:proofErr w:type="spellEnd"/>
      <w:r w:rsidRPr="00DC14B5">
        <w:rPr>
          <w:sz w:val="24"/>
          <w:szCs w:val="24"/>
        </w:rPr>
        <w:t xml:space="preserve"> et al. _ Part 2.pdf</w:t>
      </w:r>
    </w:p>
  </w:endnote>
  <w:endnote w:id="9">
    <w:p w:rsidR="00FB0029" w:rsidRPr="00DC14B5" w:rsidRDefault="00FB0029" w:rsidP="00D7645E">
      <w:pPr>
        <w:pStyle w:val="EndnoteText"/>
        <w:ind w:left="720" w:hanging="720"/>
        <w:rPr>
          <w:sz w:val="24"/>
          <w:szCs w:val="24"/>
        </w:rPr>
      </w:pPr>
      <w:r w:rsidRPr="00DC14B5">
        <w:rPr>
          <w:rStyle w:val="EndnoteReference"/>
          <w:sz w:val="24"/>
          <w:szCs w:val="24"/>
        </w:rPr>
        <w:endnoteRef/>
      </w:r>
      <w:r w:rsidRPr="00DC14B5">
        <w:rPr>
          <w:sz w:val="24"/>
          <w:szCs w:val="24"/>
        </w:rPr>
        <w:t xml:space="preserve"> </w:t>
      </w:r>
      <w:r w:rsidRPr="00DC14B5">
        <w:rPr>
          <w:sz w:val="24"/>
          <w:szCs w:val="24"/>
        </w:rPr>
        <w:tab/>
      </w:r>
      <w:proofErr w:type="spellStart"/>
      <w:r w:rsidRPr="00DC14B5">
        <w:rPr>
          <w:sz w:val="24"/>
          <w:szCs w:val="24"/>
        </w:rPr>
        <w:t>Elixhauser</w:t>
      </w:r>
      <w:proofErr w:type="spellEnd"/>
      <w:r w:rsidRPr="00DC14B5">
        <w:rPr>
          <w:sz w:val="24"/>
          <w:szCs w:val="24"/>
        </w:rPr>
        <w:t xml:space="preserve"> A., Steiner C., Harris R., Coffey </w:t>
      </w:r>
      <w:proofErr w:type="spellStart"/>
      <w:r w:rsidRPr="00DC14B5">
        <w:rPr>
          <w:sz w:val="24"/>
          <w:szCs w:val="24"/>
        </w:rPr>
        <w:t>R.M.</w:t>
      </w:r>
      <w:proofErr w:type="spellEnd"/>
      <w:r w:rsidRPr="00DC14B5">
        <w:rPr>
          <w:sz w:val="24"/>
          <w:szCs w:val="24"/>
        </w:rPr>
        <w:t xml:space="preserve"> 1998. "Comorbidity Measures for Use with Administrative Data," Medical Care 36:8-27.</w:t>
      </w:r>
    </w:p>
  </w:endnote>
  <w:endnote w:id="10">
    <w:p w:rsidR="00FB0029" w:rsidRPr="00DC14B5" w:rsidRDefault="00FB0029" w:rsidP="00D7645E">
      <w:pPr>
        <w:ind w:left="720" w:hanging="720"/>
        <w:rPr>
          <w:szCs w:val="24"/>
        </w:rPr>
      </w:pPr>
      <w:r w:rsidRPr="00DC14B5">
        <w:rPr>
          <w:rStyle w:val="EndnoteReference"/>
          <w:szCs w:val="24"/>
        </w:rPr>
        <w:endnoteRef/>
      </w:r>
      <w:r w:rsidRPr="00DC14B5">
        <w:rPr>
          <w:szCs w:val="24"/>
        </w:rPr>
        <w:t xml:space="preserve"> </w:t>
      </w:r>
      <w:r w:rsidRPr="00DC14B5">
        <w:rPr>
          <w:szCs w:val="24"/>
        </w:rPr>
        <w:tab/>
        <w:t>Patient falls were classified using the following E codes in the International Classification of Disease:  E8800 E8801 E8809 E8810 E8811 E882 E8830 E8831 E8832 E8839 E8840 E8841 E8842 E8843 E8844 E8845 E8846 E8849 E885 E8850 E8851 E8852 E8853 E8854 E8859 E8860 E8869 E888 E8880 E8881 E8888 E8889 E9681 E9870 E9871 E9872 E9879.</w:t>
      </w:r>
    </w:p>
  </w:endnote>
  <w:endnote w:id="11">
    <w:p w:rsidR="00FB0029" w:rsidRPr="00784354" w:rsidRDefault="00FB0029" w:rsidP="00D7645E">
      <w:pPr>
        <w:ind w:left="720" w:hanging="720"/>
        <w:rPr>
          <w:szCs w:val="24"/>
        </w:rPr>
      </w:pPr>
      <w:r w:rsidRPr="00DC14B5">
        <w:rPr>
          <w:rStyle w:val="EndnoteReference"/>
          <w:szCs w:val="24"/>
        </w:rPr>
        <w:endnoteRef/>
      </w:r>
      <w:r w:rsidRPr="00DC14B5">
        <w:rPr>
          <w:szCs w:val="24"/>
        </w:rPr>
        <w:t xml:space="preserve"> </w:t>
      </w:r>
      <w:r w:rsidRPr="00DC14B5">
        <w:rPr>
          <w:szCs w:val="24"/>
        </w:rPr>
        <w:tab/>
        <w:t>Patient injuries were measured using the following codes:  7960 7990 79901 79902 9071 9073 9074 9075 9079 9085 9086 9089 9092 9094 9099 9300 9301 9302 9308 9309 931 932 9330 9331 9340 9341 9348 9349 9350 9351 9352 936 937 938 9390 9391 9392 9393 9399 9500   9501 9502 9503 9509 9510 9511 9512 9513 9514 9515 9516 9517 9518 9519 9530 9531 9532 9533 9534 9535 9538 9539 9540 9541 9548 9549 9550 9551 9552 9553 9554 9555 9556 9557 9558 9559 9560 9561 9562 9563 9564 9565 9568 9569 9570 9571 9578 9579 9580 9581 9582 9583 9584 9585 9586 9587 9588 95890 95891 95892 95893 95899 9590 95901 95909 9591 95911 95912 95913 95914 95919 9592 9593 9594 9595</w:t>
      </w:r>
      <w:r w:rsidRPr="00784354">
        <w:rPr>
          <w:szCs w:val="24"/>
        </w:rPr>
        <w:t xml:space="preserve"> 9596 9597 9598 9599 990 9910 9911 9912 9913 9914 9915 9916 9918 9919 9920 9921 9922 9923 9924 9925 9926 9927 9928 9929 9930 9931 9932 9933 9934 9938 9939 9940 9941 9942 9943 9944 9945 9946 9947 9948 9949 9951 9955 99550 99551 99552 99553 99554 99555 99559 99580 99581 99582 99583 99584 99585 99589 99590 99591 99592 99593 99594 V155 V1551 V1559 V156 V1588 V713 V714 V715 V716 V9010 V9011 V9012 V902 V9031 V9032 V9033 V9039 V9081 V9083 V9089 V909.</w:t>
      </w:r>
    </w:p>
  </w:endnote>
  <w:endnote w:id="12">
    <w:p w:rsidR="00FB0029" w:rsidRPr="00784354" w:rsidRDefault="00FB0029" w:rsidP="00D7645E">
      <w:pPr>
        <w:ind w:left="720" w:hanging="720"/>
        <w:rPr>
          <w:szCs w:val="24"/>
        </w:rPr>
      </w:pPr>
      <w:r w:rsidRPr="00784354">
        <w:rPr>
          <w:rStyle w:val="EndnoteReference"/>
          <w:szCs w:val="24"/>
        </w:rPr>
        <w:endnoteRef/>
      </w:r>
      <w:r w:rsidRPr="00784354">
        <w:rPr>
          <w:szCs w:val="24"/>
        </w:rPr>
        <w:t xml:space="preserve"> </w:t>
      </w:r>
      <w:r w:rsidRPr="00784354">
        <w:rPr>
          <w:szCs w:val="24"/>
        </w:rPr>
        <w:tab/>
        <w:t xml:space="preserve">The following codes </w:t>
      </w:r>
      <w:r>
        <w:rPr>
          <w:szCs w:val="24"/>
        </w:rPr>
        <w:t>were</w:t>
      </w:r>
      <w:r w:rsidRPr="00784354">
        <w:rPr>
          <w:szCs w:val="24"/>
        </w:rPr>
        <w:t xml:space="preserve"> used to determine if the patient has had an adverse medication effect:  E9300 E9301 E9302 E9303 E9304 E9305 E9306 E9307 E9308 E9309 E9310 E9311 E9312 E9313 E9314 E9315 E9316 E9317 E9318 E9319 E9320 E9321 E9322 E9323 E9324 E9325 E9326 E9327 E9328 E9329 E9330 E9331 E9332 E9333 E9334 E9335 E9336 E9337 E9338 E9339 E9340 E9341 E9342 E9343 E9344 E9345 E9346 E9347 E9348 E9349 E9350 E9351 E9352 E9353 E9354 E9355 E9356 E9357 E9358 E9359 E9360 E9361 E9362 E9363 E9364 E9370 E9371 E9372 E9373 E9374 E9375 E9376 E9378 E9379 E9380 E9381 E9382 E9383 E9384 E9385 E9386 E9387 E9389 E9390 E9391 E9392 E9393 E9394 E9395 E9396 E9397 E9398 E9399 E9400 E9401 E9408 E9409 E9410 E9411 E9412 E9413 E9419 E9420 E9421 E9422 E9423 E9424 E9425 E9426 E9427 E9428 E9429 E9430 E9431 E9432 E9433 E9434 E9435 E9436 E9438 E9439 E9440 E9441 E9442 E9443 E9444 E9445 E9446 E9447 E9450 E9451 E9452 E9453 E9454 E9455 E9456 E9457 E9458 E9460 E9461 E9462 E9463 E9464 E9465 E9466 E9467 E9468 E9469 E9470 E9471 E9472 E9473 E9474 E9478 E9479 E9480 E9481 E9482 E9483 E9484 E9485 E9486 E9488 E9489 E9490 E9491 E9492 E9493 E9494 E9495 E9496 E9497 E9499.  </w:t>
      </w:r>
    </w:p>
  </w:endnote>
  <w:endnote w:id="13">
    <w:p w:rsidR="00FB0029" w:rsidRPr="00784354" w:rsidRDefault="00FB0029" w:rsidP="00D7645E">
      <w:pPr>
        <w:ind w:left="720" w:hanging="720"/>
        <w:rPr>
          <w:szCs w:val="24"/>
        </w:rPr>
      </w:pPr>
      <w:r w:rsidRPr="00784354">
        <w:rPr>
          <w:rStyle w:val="EndnoteReference"/>
          <w:szCs w:val="24"/>
        </w:rPr>
        <w:endnoteRef/>
      </w:r>
      <w:r w:rsidRPr="00784354">
        <w:rPr>
          <w:szCs w:val="24"/>
        </w:rPr>
        <w:t xml:space="preserve"> </w:t>
      </w:r>
      <w:r w:rsidRPr="00784354">
        <w:rPr>
          <w:szCs w:val="24"/>
        </w:rPr>
        <w:tab/>
        <w:t xml:space="preserve">The following codes </w:t>
      </w:r>
      <w:r>
        <w:rPr>
          <w:szCs w:val="24"/>
        </w:rPr>
        <w:t>were</w:t>
      </w:r>
      <w:r w:rsidRPr="00784354">
        <w:rPr>
          <w:szCs w:val="24"/>
        </w:rPr>
        <w:t xml:space="preserve"> used to determine mood disorders: 29383 29600 29601 29602 29603 29604 29605 29606 29610 29611 29612 29613 29614 29615 29616 29620 29621 29622 29623 29624      29625 29626 29630 29631 29632 29633 29634 29635 29636 29640 29641 29642 29643 29644 29645 29646 29650 29651 29652 29653 29654 29655 29656 29660 29661 29662 29663 29664 29665 29666 2967 29680 29681 29682 29689 29690 29699 3004 311.  The following codes </w:t>
      </w:r>
      <w:r>
        <w:rPr>
          <w:szCs w:val="24"/>
        </w:rPr>
        <w:t>were</w:t>
      </w:r>
      <w:r w:rsidRPr="00784354">
        <w:rPr>
          <w:szCs w:val="24"/>
        </w:rPr>
        <w:t xml:space="preserve"> used to identify anxiety disorders:  29384 30000 30001 30002 30009 30010 30020 30021 30022 30023 30029 3003 3005 30089 3009 3080 3081 3082 3083 3084 3089 30981 3130 3131 31321 31322 3133 31382 31383.  </w:t>
      </w:r>
    </w:p>
  </w:endnote>
  <w:endnote w:id="14">
    <w:p w:rsidR="00FB0029" w:rsidRPr="00DF48A1" w:rsidRDefault="00FB0029" w:rsidP="009D196F">
      <w:pPr>
        <w:pStyle w:val="EndnoteText"/>
        <w:ind w:left="720" w:hanging="720"/>
        <w:rPr>
          <w:sz w:val="24"/>
          <w:szCs w:val="24"/>
        </w:rPr>
      </w:pPr>
      <w:r w:rsidRPr="00C92DF0">
        <w:rPr>
          <w:rStyle w:val="EndnoteReference"/>
          <w:sz w:val="24"/>
          <w:szCs w:val="24"/>
        </w:rPr>
        <w:endnoteRef/>
      </w:r>
      <w:r w:rsidRPr="00C92DF0">
        <w:rPr>
          <w:sz w:val="24"/>
          <w:szCs w:val="24"/>
        </w:rPr>
        <w:t xml:space="preserve"> </w:t>
      </w:r>
      <w:r w:rsidRPr="00C92DF0">
        <w:rPr>
          <w:sz w:val="24"/>
          <w:szCs w:val="24"/>
        </w:rPr>
        <w:tab/>
      </w:r>
      <w:proofErr w:type="spellStart"/>
      <w:proofErr w:type="gramStart"/>
      <w:r w:rsidRPr="00C92DF0">
        <w:rPr>
          <w:sz w:val="24"/>
          <w:szCs w:val="24"/>
        </w:rPr>
        <w:t>Rosendaal</w:t>
      </w:r>
      <w:proofErr w:type="spellEnd"/>
      <w:r w:rsidRPr="00C92DF0">
        <w:rPr>
          <w:sz w:val="24"/>
          <w:szCs w:val="24"/>
        </w:rPr>
        <w:t xml:space="preserve"> FR, </w:t>
      </w:r>
      <w:proofErr w:type="spellStart"/>
      <w:r w:rsidRPr="00C92DF0">
        <w:rPr>
          <w:sz w:val="24"/>
          <w:szCs w:val="24"/>
        </w:rPr>
        <w:t>Cannegieter</w:t>
      </w:r>
      <w:proofErr w:type="spellEnd"/>
      <w:r w:rsidRPr="00C92DF0">
        <w:rPr>
          <w:sz w:val="24"/>
          <w:szCs w:val="24"/>
        </w:rPr>
        <w:t xml:space="preserve"> SC, van </w:t>
      </w:r>
      <w:proofErr w:type="spellStart"/>
      <w:r w:rsidRPr="00C92DF0">
        <w:rPr>
          <w:sz w:val="24"/>
          <w:szCs w:val="24"/>
        </w:rPr>
        <w:t>der</w:t>
      </w:r>
      <w:proofErr w:type="spellEnd"/>
      <w:r w:rsidRPr="00C92DF0">
        <w:rPr>
          <w:sz w:val="24"/>
          <w:szCs w:val="24"/>
        </w:rPr>
        <w:t xml:space="preserve"> Meer </w:t>
      </w:r>
      <w:proofErr w:type="spellStart"/>
      <w:r w:rsidRPr="00C92DF0">
        <w:rPr>
          <w:sz w:val="24"/>
          <w:szCs w:val="24"/>
        </w:rPr>
        <w:t>FJ</w:t>
      </w:r>
      <w:proofErr w:type="spellEnd"/>
      <w:r w:rsidRPr="00C92DF0">
        <w:rPr>
          <w:sz w:val="24"/>
          <w:szCs w:val="24"/>
        </w:rPr>
        <w:t xml:space="preserve">, </w:t>
      </w:r>
      <w:proofErr w:type="spellStart"/>
      <w:r w:rsidRPr="00C92DF0">
        <w:rPr>
          <w:sz w:val="24"/>
          <w:szCs w:val="24"/>
        </w:rPr>
        <w:t>Briet</w:t>
      </w:r>
      <w:proofErr w:type="spellEnd"/>
      <w:r w:rsidRPr="00C92DF0">
        <w:rPr>
          <w:sz w:val="24"/>
          <w:szCs w:val="24"/>
        </w:rPr>
        <w:t xml:space="preserve"> E.</w:t>
      </w:r>
      <w:proofErr w:type="gramEnd"/>
      <w:r w:rsidRPr="00C92DF0">
        <w:rPr>
          <w:sz w:val="24"/>
          <w:szCs w:val="24"/>
        </w:rPr>
        <w:t xml:space="preserve"> </w:t>
      </w:r>
      <w:proofErr w:type="gramStart"/>
      <w:r w:rsidRPr="00C92DF0">
        <w:rPr>
          <w:sz w:val="24"/>
          <w:szCs w:val="24"/>
        </w:rPr>
        <w:t xml:space="preserve">A method to determine the optimal intensity of oral </w:t>
      </w:r>
      <w:r w:rsidRPr="00DF48A1">
        <w:rPr>
          <w:sz w:val="24"/>
          <w:szCs w:val="24"/>
        </w:rPr>
        <w:t>anticoagulant therapy.</w:t>
      </w:r>
      <w:proofErr w:type="gramEnd"/>
      <w:r w:rsidRPr="00DF48A1">
        <w:rPr>
          <w:sz w:val="24"/>
          <w:szCs w:val="24"/>
        </w:rPr>
        <w:t xml:space="preserve">  </w:t>
      </w:r>
      <w:proofErr w:type="spellStart"/>
      <w:r w:rsidRPr="00DF48A1">
        <w:rPr>
          <w:sz w:val="24"/>
          <w:szCs w:val="24"/>
        </w:rPr>
        <w:t>Thromb</w:t>
      </w:r>
      <w:proofErr w:type="spellEnd"/>
      <w:r w:rsidRPr="00DF48A1">
        <w:rPr>
          <w:sz w:val="24"/>
          <w:szCs w:val="24"/>
        </w:rPr>
        <w:t xml:space="preserve"> </w:t>
      </w:r>
      <w:proofErr w:type="spellStart"/>
      <w:r w:rsidRPr="00DF48A1">
        <w:rPr>
          <w:sz w:val="24"/>
          <w:szCs w:val="24"/>
        </w:rPr>
        <w:t>Haemost</w:t>
      </w:r>
      <w:proofErr w:type="spellEnd"/>
      <w:r w:rsidRPr="00DF48A1">
        <w:rPr>
          <w:sz w:val="24"/>
          <w:szCs w:val="24"/>
        </w:rPr>
        <w:t>. 1993 Mar 1</w:t>
      </w:r>
      <w:proofErr w:type="gramStart"/>
      <w:r w:rsidRPr="00DF48A1">
        <w:rPr>
          <w:sz w:val="24"/>
          <w:szCs w:val="24"/>
        </w:rPr>
        <w:t>;69</w:t>
      </w:r>
      <w:proofErr w:type="gramEnd"/>
      <w:r w:rsidRPr="00DF48A1">
        <w:rPr>
          <w:sz w:val="24"/>
          <w:szCs w:val="24"/>
        </w:rPr>
        <w:t xml:space="preserve">(3):236-9. </w:t>
      </w:r>
    </w:p>
  </w:endnote>
  <w:endnote w:id="15">
    <w:p w:rsidR="00FB0029" w:rsidRPr="00DF48A1" w:rsidRDefault="00FB0029" w:rsidP="00DF48A1">
      <w:pPr>
        <w:pStyle w:val="EndnoteText"/>
        <w:ind w:left="720" w:hanging="720"/>
        <w:rPr>
          <w:sz w:val="24"/>
          <w:szCs w:val="24"/>
        </w:rPr>
      </w:pPr>
      <w:r w:rsidRPr="00DF48A1">
        <w:rPr>
          <w:rStyle w:val="EndnoteReference"/>
          <w:sz w:val="24"/>
          <w:szCs w:val="24"/>
        </w:rPr>
        <w:endnoteRef/>
      </w:r>
      <w:r w:rsidRPr="00DF48A1">
        <w:rPr>
          <w:sz w:val="24"/>
          <w:szCs w:val="24"/>
        </w:rPr>
        <w:t xml:space="preserve"> </w:t>
      </w:r>
      <w:r w:rsidRPr="00DF48A1">
        <w:rPr>
          <w:sz w:val="24"/>
          <w:szCs w:val="24"/>
        </w:rPr>
        <w:tab/>
      </w:r>
      <w:proofErr w:type="spellStart"/>
      <w:r w:rsidRPr="00DF48A1">
        <w:rPr>
          <w:sz w:val="24"/>
          <w:szCs w:val="24"/>
        </w:rPr>
        <w:t>Niven</w:t>
      </w:r>
      <w:proofErr w:type="spellEnd"/>
      <w:r w:rsidRPr="00DF48A1">
        <w:rPr>
          <w:sz w:val="24"/>
          <w:szCs w:val="24"/>
        </w:rPr>
        <w:t xml:space="preserve"> DJ, </w:t>
      </w:r>
      <w:proofErr w:type="spellStart"/>
      <w:r w:rsidRPr="00DF48A1">
        <w:rPr>
          <w:sz w:val="24"/>
          <w:szCs w:val="24"/>
        </w:rPr>
        <w:t>Berthiaume</w:t>
      </w:r>
      <w:proofErr w:type="spellEnd"/>
      <w:r w:rsidRPr="00DF48A1">
        <w:rPr>
          <w:sz w:val="24"/>
          <w:szCs w:val="24"/>
        </w:rPr>
        <w:t xml:space="preserve"> LR, </w:t>
      </w:r>
      <w:proofErr w:type="spellStart"/>
      <w:r w:rsidRPr="00DF48A1">
        <w:rPr>
          <w:sz w:val="24"/>
          <w:szCs w:val="24"/>
        </w:rPr>
        <w:t>Fick</w:t>
      </w:r>
      <w:proofErr w:type="spellEnd"/>
      <w:r w:rsidRPr="00DF48A1">
        <w:rPr>
          <w:sz w:val="24"/>
          <w:szCs w:val="24"/>
        </w:rPr>
        <w:t xml:space="preserve"> </w:t>
      </w:r>
      <w:proofErr w:type="spellStart"/>
      <w:r w:rsidRPr="00DF48A1">
        <w:rPr>
          <w:sz w:val="24"/>
          <w:szCs w:val="24"/>
        </w:rPr>
        <w:t>GH</w:t>
      </w:r>
      <w:proofErr w:type="spellEnd"/>
      <w:r w:rsidRPr="00DF48A1">
        <w:rPr>
          <w:sz w:val="24"/>
          <w:szCs w:val="24"/>
        </w:rPr>
        <w:t xml:space="preserve">, </w:t>
      </w:r>
      <w:proofErr w:type="spellStart"/>
      <w:r w:rsidRPr="00DF48A1">
        <w:rPr>
          <w:sz w:val="24"/>
          <w:szCs w:val="24"/>
        </w:rPr>
        <w:t>Laupland</w:t>
      </w:r>
      <w:proofErr w:type="spellEnd"/>
      <w:r w:rsidRPr="00DF48A1">
        <w:rPr>
          <w:sz w:val="24"/>
          <w:szCs w:val="24"/>
        </w:rPr>
        <w:t xml:space="preserve"> KB. </w:t>
      </w:r>
      <w:proofErr w:type="gramStart"/>
      <w:r w:rsidRPr="00DF48A1">
        <w:rPr>
          <w:sz w:val="24"/>
          <w:szCs w:val="24"/>
        </w:rPr>
        <w:t>Matched case-control studies: a review of reported statistical methodology.</w:t>
      </w:r>
      <w:proofErr w:type="gramEnd"/>
      <w:r w:rsidRPr="00DF48A1">
        <w:rPr>
          <w:sz w:val="24"/>
          <w:szCs w:val="24"/>
        </w:rPr>
        <w:t xml:space="preserve"> </w:t>
      </w:r>
      <w:proofErr w:type="spellStart"/>
      <w:r w:rsidRPr="00DF48A1">
        <w:rPr>
          <w:sz w:val="24"/>
          <w:szCs w:val="24"/>
        </w:rPr>
        <w:t>Clin</w:t>
      </w:r>
      <w:proofErr w:type="spellEnd"/>
      <w:r w:rsidRPr="00DF48A1">
        <w:rPr>
          <w:sz w:val="24"/>
          <w:szCs w:val="24"/>
        </w:rPr>
        <w:t xml:space="preserve"> </w:t>
      </w:r>
      <w:proofErr w:type="spellStart"/>
      <w:r w:rsidRPr="00DF48A1">
        <w:rPr>
          <w:sz w:val="24"/>
          <w:szCs w:val="24"/>
        </w:rPr>
        <w:t>Epidemiol</w:t>
      </w:r>
      <w:proofErr w:type="spellEnd"/>
      <w:r w:rsidRPr="00DF48A1">
        <w:rPr>
          <w:sz w:val="24"/>
          <w:szCs w:val="24"/>
        </w:rPr>
        <w:t>. 2012</w:t>
      </w:r>
      <w:proofErr w:type="gramStart"/>
      <w:r w:rsidRPr="00DF48A1">
        <w:rPr>
          <w:sz w:val="24"/>
          <w:szCs w:val="24"/>
        </w:rPr>
        <w:t>;4:99</w:t>
      </w:r>
      <w:proofErr w:type="gramEnd"/>
      <w:r w:rsidRPr="00DF48A1">
        <w:rPr>
          <w:sz w:val="24"/>
          <w:szCs w:val="24"/>
        </w:rPr>
        <w:t xml:space="preserve">-110. </w:t>
      </w:r>
    </w:p>
  </w:endnote>
  <w:endnote w:id="16">
    <w:p w:rsidR="00FB0029" w:rsidRPr="00DF48A1" w:rsidRDefault="00FB0029" w:rsidP="00DF48A1">
      <w:pPr>
        <w:pStyle w:val="EndnoteText"/>
        <w:ind w:left="720" w:hanging="720"/>
        <w:rPr>
          <w:sz w:val="24"/>
          <w:szCs w:val="24"/>
        </w:rPr>
      </w:pPr>
      <w:r w:rsidRPr="00DF48A1">
        <w:rPr>
          <w:rStyle w:val="EndnoteReference"/>
          <w:sz w:val="24"/>
          <w:szCs w:val="24"/>
        </w:rPr>
        <w:endnoteRef/>
      </w:r>
      <w:r w:rsidRPr="00DF48A1">
        <w:rPr>
          <w:sz w:val="24"/>
          <w:szCs w:val="24"/>
        </w:rPr>
        <w:t xml:space="preserve"> </w:t>
      </w:r>
      <w:r w:rsidRPr="00DF48A1">
        <w:rPr>
          <w:sz w:val="24"/>
          <w:szCs w:val="24"/>
        </w:rPr>
        <w:tab/>
      </w:r>
      <w:proofErr w:type="spellStart"/>
      <w:proofErr w:type="gramStart"/>
      <w:r w:rsidRPr="00DF48A1">
        <w:rPr>
          <w:sz w:val="24"/>
          <w:szCs w:val="24"/>
        </w:rPr>
        <w:t>Breslow</w:t>
      </w:r>
      <w:proofErr w:type="spellEnd"/>
      <w:r w:rsidRPr="00DF48A1">
        <w:rPr>
          <w:sz w:val="24"/>
          <w:szCs w:val="24"/>
        </w:rPr>
        <w:t xml:space="preserve"> NE, Day NE. Statistical Methods in Cancer Research; Volume 1 – The Analysis of Case-Control Studies.</w:t>
      </w:r>
      <w:proofErr w:type="gramEnd"/>
      <w:r w:rsidRPr="00DF48A1">
        <w:rPr>
          <w:sz w:val="24"/>
          <w:szCs w:val="24"/>
        </w:rPr>
        <w:t xml:space="preserve"> Lyon, France: International Agency for Research on Cancer; 1980.</w:t>
      </w:r>
    </w:p>
  </w:endnote>
  <w:endnote w:id="17">
    <w:p w:rsidR="00FB0029" w:rsidRPr="007A2EC7" w:rsidRDefault="00FB0029" w:rsidP="00D7645E">
      <w:pPr>
        <w:pStyle w:val="EndnoteText"/>
        <w:ind w:left="720" w:hanging="720"/>
        <w:rPr>
          <w:sz w:val="24"/>
          <w:szCs w:val="24"/>
        </w:rPr>
      </w:pPr>
      <w:r w:rsidRPr="00DF48A1">
        <w:rPr>
          <w:rStyle w:val="EndnoteReference"/>
          <w:sz w:val="24"/>
          <w:szCs w:val="24"/>
        </w:rPr>
        <w:endnoteRef/>
      </w:r>
      <w:r w:rsidRPr="00DF48A1">
        <w:rPr>
          <w:sz w:val="24"/>
          <w:szCs w:val="24"/>
        </w:rPr>
        <w:t xml:space="preserve"> </w:t>
      </w:r>
      <w:r w:rsidRPr="00DF48A1">
        <w:rPr>
          <w:sz w:val="24"/>
          <w:szCs w:val="24"/>
        </w:rPr>
        <w:tab/>
      </w:r>
      <w:proofErr w:type="gramStart"/>
      <w:r w:rsidRPr="00DF48A1">
        <w:rPr>
          <w:sz w:val="24"/>
          <w:szCs w:val="24"/>
        </w:rPr>
        <w:t xml:space="preserve">Morris and Gardner; Gardner, </w:t>
      </w:r>
      <w:proofErr w:type="spellStart"/>
      <w:r w:rsidRPr="00DF48A1">
        <w:rPr>
          <w:sz w:val="24"/>
          <w:szCs w:val="24"/>
        </w:rPr>
        <w:t>MJ</w:t>
      </w:r>
      <w:proofErr w:type="spellEnd"/>
      <w:r w:rsidRPr="00DF48A1">
        <w:rPr>
          <w:sz w:val="24"/>
          <w:szCs w:val="24"/>
        </w:rPr>
        <w:t xml:space="preserve"> (1988).</w:t>
      </w:r>
      <w:proofErr w:type="gramEnd"/>
      <w:r w:rsidRPr="00DF48A1">
        <w:rPr>
          <w:sz w:val="24"/>
          <w:szCs w:val="24"/>
        </w:rPr>
        <w:t xml:space="preserve"> </w:t>
      </w:r>
      <w:proofErr w:type="gramStart"/>
      <w:r w:rsidRPr="00DF48A1">
        <w:rPr>
          <w:sz w:val="24"/>
          <w:szCs w:val="24"/>
        </w:rPr>
        <w:t>"Calculating confidence intervals for relative risks (odds ratios) and standardized ratios</w:t>
      </w:r>
      <w:r w:rsidRPr="007A2EC7">
        <w:rPr>
          <w:sz w:val="24"/>
          <w:szCs w:val="24"/>
        </w:rPr>
        <w:t xml:space="preserve"> and rates".</w:t>
      </w:r>
      <w:proofErr w:type="gramEnd"/>
      <w:r w:rsidRPr="007A2EC7">
        <w:rPr>
          <w:sz w:val="24"/>
          <w:szCs w:val="24"/>
        </w:rPr>
        <w:t xml:space="preserve"> British Medical Journal 296 (6632): 1313–1316.</w:t>
      </w:r>
    </w:p>
  </w:endnote>
  <w:endnote w:id="18">
    <w:p w:rsidR="00FB0029" w:rsidRPr="00455988" w:rsidRDefault="00FB0029" w:rsidP="00D7645E">
      <w:pPr>
        <w:pStyle w:val="EndnoteText"/>
        <w:ind w:left="720" w:hanging="720"/>
        <w:rPr>
          <w:sz w:val="24"/>
          <w:szCs w:val="24"/>
        </w:rPr>
      </w:pPr>
      <w:r w:rsidRPr="00455988">
        <w:rPr>
          <w:rStyle w:val="EndnoteReference"/>
          <w:sz w:val="24"/>
          <w:szCs w:val="24"/>
        </w:rPr>
        <w:endnoteRef/>
      </w:r>
      <w:r w:rsidRPr="00455988">
        <w:rPr>
          <w:sz w:val="24"/>
          <w:szCs w:val="24"/>
        </w:rPr>
        <w:t xml:space="preserve"> </w:t>
      </w:r>
      <w:r w:rsidRPr="00455988">
        <w:rPr>
          <w:sz w:val="24"/>
          <w:szCs w:val="24"/>
        </w:rPr>
        <w:tab/>
        <w:t>Kaplan, E. L.; Meier, P.: Nonparametric estimation from incomplete observations. J. Amer. Statist. Assn. 53:457–481, 1958.</w:t>
      </w:r>
    </w:p>
  </w:endnote>
  <w:endnote w:id="19">
    <w:p w:rsidR="00FB0029" w:rsidRPr="005B2A79" w:rsidRDefault="00FB0029" w:rsidP="005B2A79">
      <w:pPr>
        <w:pStyle w:val="EndnoteText"/>
        <w:ind w:left="720" w:hanging="720"/>
        <w:rPr>
          <w:sz w:val="24"/>
          <w:szCs w:val="24"/>
        </w:rPr>
      </w:pPr>
      <w:r w:rsidRPr="005B2A79">
        <w:rPr>
          <w:rStyle w:val="EndnoteReference"/>
          <w:sz w:val="24"/>
          <w:szCs w:val="24"/>
        </w:rPr>
        <w:endnoteRef/>
      </w:r>
      <w:r w:rsidRPr="005B2A79">
        <w:rPr>
          <w:sz w:val="24"/>
          <w:szCs w:val="24"/>
        </w:rPr>
        <w:t xml:space="preserve"> </w:t>
      </w:r>
      <w:r w:rsidRPr="005B2A79">
        <w:rPr>
          <w:sz w:val="24"/>
          <w:szCs w:val="24"/>
        </w:rPr>
        <w:tab/>
      </w:r>
      <w:proofErr w:type="gramStart"/>
      <w:r w:rsidRPr="005B2A79">
        <w:rPr>
          <w:sz w:val="24"/>
          <w:szCs w:val="24"/>
        </w:rPr>
        <w:t>Greenwood M.</w:t>
      </w:r>
      <w:proofErr w:type="gramEnd"/>
      <w:r w:rsidRPr="005B2A79">
        <w:rPr>
          <w:sz w:val="24"/>
          <w:szCs w:val="24"/>
        </w:rPr>
        <w:t xml:space="preserve"> </w:t>
      </w:r>
      <w:proofErr w:type="gramStart"/>
      <w:r w:rsidRPr="005B2A79">
        <w:rPr>
          <w:sz w:val="24"/>
          <w:szCs w:val="24"/>
        </w:rPr>
        <w:t>The natural duration of cancer.</w:t>
      </w:r>
      <w:proofErr w:type="gramEnd"/>
      <w:r w:rsidRPr="005B2A79">
        <w:rPr>
          <w:sz w:val="24"/>
          <w:szCs w:val="24"/>
        </w:rPr>
        <w:t xml:space="preserve"> </w:t>
      </w:r>
      <w:proofErr w:type="gramStart"/>
      <w:r w:rsidRPr="005B2A79">
        <w:rPr>
          <w:sz w:val="24"/>
          <w:szCs w:val="24"/>
        </w:rPr>
        <w:t>Reports on Public Health and Medical Subjects.</w:t>
      </w:r>
      <w:proofErr w:type="gramEnd"/>
      <w:r w:rsidRPr="005B2A79">
        <w:rPr>
          <w:sz w:val="24"/>
          <w:szCs w:val="24"/>
        </w:rPr>
        <w:t xml:space="preserve"> London: Her Majesty's Stationery Office 1926</w:t>
      </w:r>
      <w:proofErr w:type="gramStart"/>
      <w:r w:rsidRPr="005B2A79">
        <w:rPr>
          <w:sz w:val="24"/>
          <w:szCs w:val="24"/>
        </w:rPr>
        <w:t>;33:1</w:t>
      </w:r>
      <w:proofErr w:type="gramEnd"/>
      <w:r w:rsidRPr="005B2A79">
        <w:rPr>
          <w:sz w:val="24"/>
          <w:szCs w:val="24"/>
        </w:rPr>
        <w:t>–26.</w:t>
      </w:r>
    </w:p>
  </w:endnote>
  <w:endnote w:id="20">
    <w:p w:rsidR="00FB0029" w:rsidRPr="00784354" w:rsidRDefault="00FB0029" w:rsidP="00D7645E">
      <w:pPr>
        <w:pStyle w:val="EndnoteText"/>
        <w:ind w:left="720" w:hanging="720"/>
        <w:rPr>
          <w:sz w:val="24"/>
          <w:szCs w:val="24"/>
        </w:rPr>
      </w:pPr>
      <w:r>
        <w:rPr>
          <w:rStyle w:val="EndnoteReference"/>
        </w:rPr>
        <w:endnoteRef/>
      </w:r>
      <w:r>
        <w:t xml:space="preserve"> </w:t>
      </w:r>
      <w:r>
        <w:tab/>
      </w:r>
      <w:r w:rsidRPr="00A518AB">
        <w:rPr>
          <w:sz w:val="24"/>
          <w:szCs w:val="24"/>
        </w:rPr>
        <w:t xml:space="preserve">Alemi F, Walters SR.  </w:t>
      </w:r>
      <w:proofErr w:type="gramStart"/>
      <w:r w:rsidRPr="00A518AB">
        <w:rPr>
          <w:sz w:val="24"/>
          <w:szCs w:val="24"/>
        </w:rPr>
        <w:t>A mathematical theory for identifying and measuring severity of episodes of care.</w:t>
      </w:r>
      <w:proofErr w:type="gramEnd"/>
      <w:r w:rsidRPr="00A518AB">
        <w:rPr>
          <w:sz w:val="24"/>
          <w:szCs w:val="24"/>
        </w:rPr>
        <w:t xml:space="preserve">  </w:t>
      </w:r>
      <w:proofErr w:type="gramStart"/>
      <w:r w:rsidRPr="00A518AB">
        <w:rPr>
          <w:sz w:val="24"/>
          <w:szCs w:val="24"/>
        </w:rPr>
        <w:t>Qual Manag Health Care.</w:t>
      </w:r>
      <w:proofErr w:type="gramEnd"/>
      <w:r w:rsidRPr="00A518AB">
        <w:rPr>
          <w:sz w:val="24"/>
          <w:szCs w:val="24"/>
        </w:rPr>
        <w:t xml:space="preserve"> 2006 Apr-Jun</w:t>
      </w:r>
      <w:proofErr w:type="gramStart"/>
      <w:r w:rsidRPr="00A518AB">
        <w:rPr>
          <w:sz w:val="24"/>
          <w:szCs w:val="24"/>
        </w:rPr>
        <w:t>;15</w:t>
      </w:r>
      <w:proofErr w:type="gramEnd"/>
      <w:r w:rsidRPr="00A518AB">
        <w:rPr>
          <w:sz w:val="24"/>
          <w:szCs w:val="24"/>
        </w:rPr>
        <w:t>(2):72-82.</w:t>
      </w:r>
    </w:p>
  </w:endnote>
  <w:endnote w:id="21">
    <w:p w:rsidR="00FB0029" w:rsidRDefault="00FB0029" w:rsidP="00D7645E">
      <w:pPr>
        <w:pStyle w:val="EndnoteText"/>
        <w:ind w:left="720" w:hanging="720"/>
        <w:rPr>
          <w:sz w:val="24"/>
          <w:szCs w:val="24"/>
        </w:rPr>
      </w:pPr>
      <w:r w:rsidRPr="00784354">
        <w:rPr>
          <w:rStyle w:val="EndnoteReference"/>
          <w:sz w:val="24"/>
          <w:szCs w:val="24"/>
        </w:rPr>
        <w:endnoteRef/>
      </w:r>
      <w:r w:rsidRPr="00784354">
        <w:rPr>
          <w:sz w:val="24"/>
          <w:szCs w:val="24"/>
        </w:rPr>
        <w:t xml:space="preserve"> </w:t>
      </w:r>
      <w:r w:rsidRPr="00784354">
        <w:rPr>
          <w:sz w:val="24"/>
          <w:szCs w:val="24"/>
        </w:rPr>
        <w:tab/>
      </w:r>
      <w:r>
        <w:rPr>
          <w:sz w:val="24"/>
          <w:szCs w:val="24"/>
        </w:rPr>
        <w:t xml:space="preserve">Alemi F, Uriyo M.  </w:t>
      </w:r>
      <w:proofErr w:type="gramStart"/>
      <w:r w:rsidRPr="00A518AB">
        <w:rPr>
          <w:sz w:val="24"/>
          <w:szCs w:val="24"/>
        </w:rPr>
        <w:t>Accuracy of Claims-Based Measures of Severity of Childhood Illnesses</w:t>
      </w:r>
      <w:r>
        <w:rPr>
          <w:sz w:val="24"/>
          <w:szCs w:val="24"/>
        </w:rPr>
        <w:t>.</w:t>
      </w:r>
      <w:proofErr w:type="gramEnd"/>
      <w:r>
        <w:rPr>
          <w:sz w:val="24"/>
          <w:szCs w:val="24"/>
        </w:rPr>
        <w:t xml:space="preserve">  </w:t>
      </w:r>
      <w:r w:rsidRPr="00A518AB">
        <w:rPr>
          <w:sz w:val="24"/>
          <w:szCs w:val="24"/>
        </w:rPr>
        <w:t>Health Outcomes Research in Medicine</w:t>
      </w:r>
      <w:r>
        <w:rPr>
          <w:sz w:val="24"/>
          <w:szCs w:val="24"/>
        </w:rPr>
        <w:t xml:space="preserve"> 2012, </w:t>
      </w:r>
      <w:r w:rsidRPr="00A518AB">
        <w:rPr>
          <w:sz w:val="24"/>
          <w:szCs w:val="24"/>
        </w:rPr>
        <w:t>2</w:t>
      </w:r>
      <w:r>
        <w:rPr>
          <w:sz w:val="24"/>
          <w:szCs w:val="24"/>
        </w:rPr>
        <w:t xml:space="preserve"> (</w:t>
      </w:r>
      <w:r w:rsidRPr="00A518AB">
        <w:rPr>
          <w:sz w:val="24"/>
          <w:szCs w:val="24"/>
        </w:rPr>
        <w:t>2</w:t>
      </w:r>
      <w:r>
        <w:rPr>
          <w:sz w:val="24"/>
          <w:szCs w:val="24"/>
        </w:rPr>
        <w:t xml:space="preserve">):  </w:t>
      </w:r>
      <w:r w:rsidRPr="00A518AB">
        <w:rPr>
          <w:sz w:val="24"/>
          <w:szCs w:val="24"/>
        </w:rPr>
        <w:t>e71-e78</w:t>
      </w:r>
      <w:r>
        <w:rPr>
          <w:sz w:val="24"/>
          <w:szCs w:val="24"/>
        </w:rPr>
        <w:t>.</w:t>
      </w:r>
    </w:p>
    <w:p w:rsidR="00FB0029" w:rsidRDefault="00FB0029" w:rsidP="00D7645E">
      <w:pPr>
        <w:pStyle w:val="EndnoteText"/>
        <w:ind w:left="720" w:hanging="720"/>
        <w:rPr>
          <w:sz w:val="24"/>
          <w:szCs w:val="24"/>
        </w:rPr>
      </w:pPr>
    </w:p>
    <w:p w:rsidR="00FB0029" w:rsidRPr="00784354" w:rsidRDefault="00FB0029" w:rsidP="00D7645E">
      <w:pPr>
        <w:pStyle w:val="EndnoteText"/>
        <w:ind w:left="720" w:hanging="720"/>
        <w:rPr>
          <w:sz w:val="24"/>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29" w:rsidRDefault="00FB0029">
    <w:pPr>
      <w:pStyle w:val="Footer"/>
      <w:jc w:val="right"/>
      <w:rPr>
        <w:rFonts w:ascii="Cambria" w:hAnsi="Cambria"/>
        <w:sz w:val="28"/>
        <w:szCs w:val="28"/>
      </w:rPr>
    </w:pPr>
    <w:r>
      <w:rPr>
        <w:rFonts w:ascii="Cambria" w:hAnsi="Cambria"/>
        <w:sz w:val="28"/>
        <w:szCs w:val="28"/>
      </w:rPr>
      <w:t xml:space="preserve">Page </w:t>
    </w:r>
    <w:r w:rsidRPr="004C6E84">
      <w:fldChar w:fldCharType="begin"/>
    </w:r>
    <w:r>
      <w:instrText xml:space="preserve"> PAGE    \* MERGEFORMAT </w:instrText>
    </w:r>
    <w:r w:rsidRPr="004C6E84">
      <w:fldChar w:fldCharType="separate"/>
    </w:r>
    <w:r w:rsidR="003C75F9" w:rsidRPr="003C75F9">
      <w:rPr>
        <w:rFonts w:ascii="Cambria" w:hAnsi="Cambria"/>
        <w:noProof/>
        <w:sz w:val="28"/>
        <w:szCs w:val="28"/>
      </w:rPr>
      <w:t>9</w:t>
    </w:r>
    <w:r>
      <w:rPr>
        <w:rFonts w:ascii="Cambria" w:hAnsi="Cambria"/>
        <w:noProof/>
        <w:sz w:val="28"/>
        <w:szCs w:val="28"/>
      </w:rPr>
      <w:fldChar w:fldCharType="end"/>
    </w:r>
  </w:p>
  <w:p w:rsidR="00FB0029" w:rsidRDefault="00FB00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EA0" w:rsidRDefault="00E96EA0" w:rsidP="00D7645E">
      <w:r>
        <w:separator/>
      </w:r>
    </w:p>
  </w:footnote>
  <w:footnote w:type="continuationSeparator" w:id="0">
    <w:p w:rsidR="00E96EA0" w:rsidRDefault="00E96EA0" w:rsidP="00D764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DF5"/>
    <w:multiLevelType w:val="multilevel"/>
    <w:tmpl w:val="4AD89148"/>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C162942"/>
    <w:multiLevelType w:val="hybridMultilevel"/>
    <w:tmpl w:val="1292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24AEA"/>
    <w:multiLevelType w:val="hybridMultilevel"/>
    <w:tmpl w:val="7F9E48FE"/>
    <w:lvl w:ilvl="0" w:tplc="B8C633EE">
      <w:start w:val="1"/>
      <w:numFmt w:val="lowerLetter"/>
      <w:lvlText w:val="%1)"/>
      <w:lvlJc w:val="left"/>
      <w:pPr>
        <w:ind w:left="1350" w:hanging="360"/>
      </w:pPr>
      <w:rPr>
        <w:rFonts w:eastAsia="Times New Roman"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2BCD077F"/>
    <w:multiLevelType w:val="hybridMultilevel"/>
    <w:tmpl w:val="63121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F61686"/>
    <w:multiLevelType w:val="hybridMultilevel"/>
    <w:tmpl w:val="BF746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43E4B5B"/>
    <w:multiLevelType w:val="hybridMultilevel"/>
    <w:tmpl w:val="B17C923A"/>
    <w:lvl w:ilvl="0" w:tplc="B8F64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E22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E23508A"/>
    <w:multiLevelType w:val="hybridMultilevel"/>
    <w:tmpl w:val="9710E12A"/>
    <w:lvl w:ilvl="0" w:tplc="F85C76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92631E"/>
    <w:multiLevelType w:val="multilevel"/>
    <w:tmpl w:val="6E2A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F13638"/>
    <w:multiLevelType w:val="hybridMultilevel"/>
    <w:tmpl w:val="A480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167AED"/>
    <w:multiLevelType w:val="multilevel"/>
    <w:tmpl w:val="6A56FB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3D23187"/>
    <w:multiLevelType w:val="multilevel"/>
    <w:tmpl w:val="A39C140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0B9448F"/>
    <w:multiLevelType w:val="hybridMultilevel"/>
    <w:tmpl w:val="8B7488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2"/>
  </w:num>
  <w:num w:numId="5">
    <w:abstractNumId w:val="8"/>
  </w:num>
  <w:num w:numId="6">
    <w:abstractNumId w:val="1"/>
  </w:num>
  <w:num w:numId="7">
    <w:abstractNumId w:val="4"/>
  </w:num>
  <w:num w:numId="8">
    <w:abstractNumId w:val="7"/>
  </w:num>
  <w:num w:numId="9">
    <w:abstractNumId w:val="6"/>
  </w:num>
  <w:num w:numId="10">
    <w:abstractNumId w:val="10"/>
  </w:num>
  <w:num w:numId="11">
    <w:abstractNumId w:val="0"/>
  </w:num>
  <w:num w:numId="12">
    <w:abstractNumId w:val="1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savePreviewPicture/>
  <w:footnotePr>
    <w:footnote w:id="-1"/>
    <w:footnote w:id="0"/>
  </w:footnotePr>
  <w:endnotePr>
    <w:numFmt w:val="decimal"/>
    <w:endnote w:id="-1"/>
    <w:endnote w:id="0"/>
  </w:endnotePr>
  <w:compat/>
  <w:rsids>
    <w:rsidRoot w:val="00D7645E"/>
    <w:rsid w:val="00030EF7"/>
    <w:rsid w:val="000356EA"/>
    <w:rsid w:val="0004527B"/>
    <w:rsid w:val="0008334A"/>
    <w:rsid w:val="000967C6"/>
    <w:rsid w:val="0009786D"/>
    <w:rsid w:val="000A4F91"/>
    <w:rsid w:val="000B5F91"/>
    <w:rsid w:val="000E156B"/>
    <w:rsid w:val="000F46A9"/>
    <w:rsid w:val="0010083B"/>
    <w:rsid w:val="00101AC0"/>
    <w:rsid w:val="00103181"/>
    <w:rsid w:val="00114FDA"/>
    <w:rsid w:val="001424D5"/>
    <w:rsid w:val="00155089"/>
    <w:rsid w:val="0018454B"/>
    <w:rsid w:val="00185DE9"/>
    <w:rsid w:val="00190400"/>
    <w:rsid w:val="0019530E"/>
    <w:rsid w:val="001C6B1D"/>
    <w:rsid w:val="001C71F3"/>
    <w:rsid w:val="001D34FB"/>
    <w:rsid w:val="001E5732"/>
    <w:rsid w:val="001E72C5"/>
    <w:rsid w:val="00230423"/>
    <w:rsid w:val="00231350"/>
    <w:rsid w:val="00257E2D"/>
    <w:rsid w:val="00271B46"/>
    <w:rsid w:val="0027453E"/>
    <w:rsid w:val="0027773B"/>
    <w:rsid w:val="00287386"/>
    <w:rsid w:val="002C45D4"/>
    <w:rsid w:val="002D16CC"/>
    <w:rsid w:val="002E0154"/>
    <w:rsid w:val="002E31F2"/>
    <w:rsid w:val="002E6D20"/>
    <w:rsid w:val="00314721"/>
    <w:rsid w:val="00332B6A"/>
    <w:rsid w:val="00383BB4"/>
    <w:rsid w:val="00384F9D"/>
    <w:rsid w:val="00397D87"/>
    <w:rsid w:val="003B2870"/>
    <w:rsid w:val="003C0584"/>
    <w:rsid w:val="003C75F9"/>
    <w:rsid w:val="003D77EC"/>
    <w:rsid w:val="003E7C2A"/>
    <w:rsid w:val="003F1715"/>
    <w:rsid w:val="003F5CA4"/>
    <w:rsid w:val="00410093"/>
    <w:rsid w:val="004206FF"/>
    <w:rsid w:val="0043047B"/>
    <w:rsid w:val="00437FF0"/>
    <w:rsid w:val="004435B4"/>
    <w:rsid w:val="00456316"/>
    <w:rsid w:val="004677C1"/>
    <w:rsid w:val="004807BD"/>
    <w:rsid w:val="00482A75"/>
    <w:rsid w:val="00482B59"/>
    <w:rsid w:val="00487545"/>
    <w:rsid w:val="00490959"/>
    <w:rsid w:val="004A49C5"/>
    <w:rsid w:val="004B34A0"/>
    <w:rsid w:val="004C6E84"/>
    <w:rsid w:val="004D1234"/>
    <w:rsid w:val="004D2CA7"/>
    <w:rsid w:val="004D45FF"/>
    <w:rsid w:val="00507647"/>
    <w:rsid w:val="00522465"/>
    <w:rsid w:val="00544CAA"/>
    <w:rsid w:val="0055662C"/>
    <w:rsid w:val="005656D3"/>
    <w:rsid w:val="00593579"/>
    <w:rsid w:val="005B2A79"/>
    <w:rsid w:val="005D2C1D"/>
    <w:rsid w:val="005F0B6A"/>
    <w:rsid w:val="005F1987"/>
    <w:rsid w:val="00600BD1"/>
    <w:rsid w:val="00606E01"/>
    <w:rsid w:val="00611622"/>
    <w:rsid w:val="0063194A"/>
    <w:rsid w:val="006620AB"/>
    <w:rsid w:val="006A1DC7"/>
    <w:rsid w:val="006B4980"/>
    <w:rsid w:val="006B5650"/>
    <w:rsid w:val="006D2AF0"/>
    <w:rsid w:val="006D37D8"/>
    <w:rsid w:val="006D6C8D"/>
    <w:rsid w:val="006E14B0"/>
    <w:rsid w:val="00701364"/>
    <w:rsid w:val="007016E6"/>
    <w:rsid w:val="00727A87"/>
    <w:rsid w:val="00732038"/>
    <w:rsid w:val="00733167"/>
    <w:rsid w:val="00777F6D"/>
    <w:rsid w:val="007947BE"/>
    <w:rsid w:val="007A56D5"/>
    <w:rsid w:val="007B074A"/>
    <w:rsid w:val="007B7FA0"/>
    <w:rsid w:val="007E31D9"/>
    <w:rsid w:val="007F57B1"/>
    <w:rsid w:val="008016CD"/>
    <w:rsid w:val="00810AB7"/>
    <w:rsid w:val="008224BB"/>
    <w:rsid w:val="008336FC"/>
    <w:rsid w:val="0084270E"/>
    <w:rsid w:val="00842FDF"/>
    <w:rsid w:val="0085114E"/>
    <w:rsid w:val="00853E33"/>
    <w:rsid w:val="008573CC"/>
    <w:rsid w:val="008632CE"/>
    <w:rsid w:val="0086552F"/>
    <w:rsid w:val="0088668A"/>
    <w:rsid w:val="00887528"/>
    <w:rsid w:val="008A3DB7"/>
    <w:rsid w:val="008B2AC0"/>
    <w:rsid w:val="008B3085"/>
    <w:rsid w:val="008B499D"/>
    <w:rsid w:val="008C239B"/>
    <w:rsid w:val="008C7FEB"/>
    <w:rsid w:val="008D26A3"/>
    <w:rsid w:val="008D3D2A"/>
    <w:rsid w:val="008E553C"/>
    <w:rsid w:val="00903F7D"/>
    <w:rsid w:val="009066E4"/>
    <w:rsid w:val="009774AE"/>
    <w:rsid w:val="00977E5D"/>
    <w:rsid w:val="009D0836"/>
    <w:rsid w:val="009D196F"/>
    <w:rsid w:val="00A074F6"/>
    <w:rsid w:val="00A11447"/>
    <w:rsid w:val="00A27AB8"/>
    <w:rsid w:val="00A35371"/>
    <w:rsid w:val="00A54723"/>
    <w:rsid w:val="00A6404B"/>
    <w:rsid w:val="00A64B14"/>
    <w:rsid w:val="00A67D97"/>
    <w:rsid w:val="00A722CC"/>
    <w:rsid w:val="00A738AB"/>
    <w:rsid w:val="00A76DFC"/>
    <w:rsid w:val="00AD498D"/>
    <w:rsid w:val="00B03115"/>
    <w:rsid w:val="00B0539D"/>
    <w:rsid w:val="00B05A99"/>
    <w:rsid w:val="00B06230"/>
    <w:rsid w:val="00B1262A"/>
    <w:rsid w:val="00B12F81"/>
    <w:rsid w:val="00B14ABF"/>
    <w:rsid w:val="00B23B60"/>
    <w:rsid w:val="00B27332"/>
    <w:rsid w:val="00B31DD8"/>
    <w:rsid w:val="00B92650"/>
    <w:rsid w:val="00BA4632"/>
    <w:rsid w:val="00BA66F8"/>
    <w:rsid w:val="00BB6679"/>
    <w:rsid w:val="00BC502B"/>
    <w:rsid w:val="00BD5FF1"/>
    <w:rsid w:val="00BD6154"/>
    <w:rsid w:val="00BE3EAF"/>
    <w:rsid w:val="00BE663E"/>
    <w:rsid w:val="00C140B4"/>
    <w:rsid w:val="00C142C7"/>
    <w:rsid w:val="00C206D8"/>
    <w:rsid w:val="00C2717B"/>
    <w:rsid w:val="00C30E80"/>
    <w:rsid w:val="00C406A8"/>
    <w:rsid w:val="00C43ECA"/>
    <w:rsid w:val="00C638E2"/>
    <w:rsid w:val="00C72EA4"/>
    <w:rsid w:val="00C85D3F"/>
    <w:rsid w:val="00C951C0"/>
    <w:rsid w:val="00CA0087"/>
    <w:rsid w:val="00CC7E04"/>
    <w:rsid w:val="00CE0199"/>
    <w:rsid w:val="00CE0D98"/>
    <w:rsid w:val="00CF45C4"/>
    <w:rsid w:val="00D01177"/>
    <w:rsid w:val="00D10947"/>
    <w:rsid w:val="00D324F0"/>
    <w:rsid w:val="00D46BF2"/>
    <w:rsid w:val="00D6253B"/>
    <w:rsid w:val="00D63660"/>
    <w:rsid w:val="00D74D5A"/>
    <w:rsid w:val="00D7645E"/>
    <w:rsid w:val="00D93A99"/>
    <w:rsid w:val="00DC14B5"/>
    <w:rsid w:val="00DE31E2"/>
    <w:rsid w:val="00DE3A03"/>
    <w:rsid w:val="00DF095F"/>
    <w:rsid w:val="00DF48A1"/>
    <w:rsid w:val="00DF6C23"/>
    <w:rsid w:val="00E06870"/>
    <w:rsid w:val="00E41C79"/>
    <w:rsid w:val="00E42EB3"/>
    <w:rsid w:val="00E64CEA"/>
    <w:rsid w:val="00E72514"/>
    <w:rsid w:val="00E83B77"/>
    <w:rsid w:val="00E90C81"/>
    <w:rsid w:val="00E96EA0"/>
    <w:rsid w:val="00EC1BDF"/>
    <w:rsid w:val="00EC4375"/>
    <w:rsid w:val="00EC5A5D"/>
    <w:rsid w:val="00ED657D"/>
    <w:rsid w:val="00EF0C1B"/>
    <w:rsid w:val="00EF6082"/>
    <w:rsid w:val="00F016E3"/>
    <w:rsid w:val="00F01850"/>
    <w:rsid w:val="00F33A85"/>
    <w:rsid w:val="00F60470"/>
    <w:rsid w:val="00F63EFD"/>
    <w:rsid w:val="00F674B7"/>
    <w:rsid w:val="00F86692"/>
    <w:rsid w:val="00F922CF"/>
    <w:rsid w:val="00FB0029"/>
    <w:rsid w:val="00FB2D1E"/>
    <w:rsid w:val="00FB4352"/>
    <w:rsid w:val="00FC3D1E"/>
    <w:rsid w:val="00FC5808"/>
    <w:rsid w:val="00FD1396"/>
    <w:rsid w:val="00FE0B06"/>
    <w:rsid w:val="00FE3057"/>
    <w:rsid w:val="00FF10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45E"/>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7645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D7645E"/>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45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D7645E"/>
    <w:rPr>
      <w:rFonts w:ascii="Cambria" w:eastAsia="Times New Roman" w:hAnsi="Cambria" w:cs="Times New Roman"/>
      <w:b/>
      <w:bCs/>
      <w:color w:val="4F81BD"/>
      <w:sz w:val="26"/>
      <w:szCs w:val="26"/>
    </w:rPr>
  </w:style>
  <w:style w:type="paragraph" w:styleId="EndnoteText">
    <w:name w:val="endnote text"/>
    <w:basedOn w:val="Normal"/>
    <w:link w:val="EndnoteTextChar"/>
    <w:uiPriority w:val="99"/>
    <w:rsid w:val="00D7645E"/>
    <w:rPr>
      <w:rFonts w:eastAsia="Calibri"/>
      <w:sz w:val="20"/>
    </w:rPr>
  </w:style>
  <w:style w:type="character" w:customStyle="1" w:styleId="EndnoteTextChar">
    <w:name w:val="Endnote Text Char"/>
    <w:basedOn w:val="DefaultParagraphFont"/>
    <w:link w:val="EndnoteText"/>
    <w:uiPriority w:val="99"/>
    <w:rsid w:val="00D7645E"/>
    <w:rPr>
      <w:rFonts w:ascii="Times New Roman" w:eastAsia="Calibri" w:hAnsi="Times New Roman" w:cs="Times New Roman"/>
      <w:sz w:val="20"/>
      <w:szCs w:val="20"/>
    </w:rPr>
  </w:style>
  <w:style w:type="character" w:styleId="EndnoteReference">
    <w:name w:val="endnote reference"/>
    <w:uiPriority w:val="99"/>
    <w:rsid w:val="00D7645E"/>
    <w:rPr>
      <w:rFonts w:cs="Times New Roman"/>
      <w:vertAlign w:val="superscript"/>
    </w:rPr>
  </w:style>
  <w:style w:type="paragraph" w:styleId="ListParagraph">
    <w:name w:val="List Paragraph"/>
    <w:basedOn w:val="Normal"/>
    <w:uiPriority w:val="34"/>
    <w:qFormat/>
    <w:rsid w:val="00D7645E"/>
    <w:pPr>
      <w:spacing w:after="200" w:line="276" w:lineRule="auto"/>
      <w:ind w:left="720"/>
      <w:contextualSpacing/>
    </w:pPr>
    <w:rPr>
      <w:rFonts w:ascii="Calibri" w:hAnsi="Calibri"/>
    </w:rPr>
  </w:style>
  <w:style w:type="paragraph" w:styleId="Footer">
    <w:name w:val="footer"/>
    <w:basedOn w:val="Normal"/>
    <w:link w:val="FooterChar"/>
    <w:uiPriority w:val="99"/>
    <w:unhideWhenUsed/>
    <w:rsid w:val="00D7645E"/>
    <w:pPr>
      <w:tabs>
        <w:tab w:val="center" w:pos="4680"/>
        <w:tab w:val="right" w:pos="9360"/>
      </w:tabs>
    </w:pPr>
  </w:style>
  <w:style w:type="character" w:customStyle="1" w:styleId="FooterChar">
    <w:name w:val="Footer Char"/>
    <w:basedOn w:val="DefaultParagraphFont"/>
    <w:link w:val="Footer"/>
    <w:uiPriority w:val="99"/>
    <w:rsid w:val="00D7645E"/>
    <w:rPr>
      <w:rFonts w:ascii="Times New Roman" w:eastAsia="Times New Roman" w:hAnsi="Times New Roman" w:cs="Times New Roman"/>
      <w:sz w:val="24"/>
      <w:szCs w:val="20"/>
    </w:rPr>
  </w:style>
  <w:style w:type="character" w:styleId="Hyperlink">
    <w:name w:val="Hyperlink"/>
    <w:uiPriority w:val="99"/>
    <w:unhideWhenUsed/>
    <w:rsid w:val="00D7645E"/>
    <w:rPr>
      <w:color w:val="0000FF"/>
      <w:u w:val="single"/>
    </w:rPr>
  </w:style>
  <w:style w:type="paragraph" w:styleId="TOCHeading">
    <w:name w:val="TOC Heading"/>
    <w:basedOn w:val="Heading1"/>
    <w:next w:val="Normal"/>
    <w:uiPriority w:val="39"/>
    <w:unhideWhenUsed/>
    <w:qFormat/>
    <w:rsid w:val="00D7645E"/>
    <w:pPr>
      <w:spacing w:line="276" w:lineRule="auto"/>
      <w:outlineLvl w:val="9"/>
    </w:pPr>
  </w:style>
  <w:style w:type="paragraph" w:styleId="TOC1">
    <w:name w:val="toc 1"/>
    <w:basedOn w:val="Normal"/>
    <w:next w:val="Normal"/>
    <w:autoRedefine/>
    <w:uiPriority w:val="39"/>
    <w:unhideWhenUsed/>
    <w:qFormat/>
    <w:rsid w:val="00D7645E"/>
    <w:pPr>
      <w:spacing w:after="100"/>
    </w:pPr>
  </w:style>
  <w:style w:type="paragraph" w:styleId="TOC2">
    <w:name w:val="toc 2"/>
    <w:basedOn w:val="Normal"/>
    <w:next w:val="Normal"/>
    <w:autoRedefine/>
    <w:uiPriority w:val="39"/>
    <w:unhideWhenUsed/>
    <w:qFormat/>
    <w:rsid w:val="00D7645E"/>
    <w:pPr>
      <w:spacing w:after="100"/>
      <w:ind w:left="240"/>
    </w:pPr>
  </w:style>
  <w:style w:type="paragraph" w:customStyle="1" w:styleId="Default">
    <w:name w:val="Default"/>
    <w:rsid w:val="00D7645E"/>
    <w:pPr>
      <w:autoSpaceDE w:val="0"/>
      <w:autoSpaceDN w:val="0"/>
      <w:adjustRightInd w:val="0"/>
      <w:spacing w:after="0" w:line="240" w:lineRule="auto"/>
    </w:pPr>
    <w:rPr>
      <w:rFonts w:ascii="Arial" w:eastAsia="Calibri" w:hAnsi="Arial" w:cs="Arial"/>
      <w:color w:val="000000"/>
      <w:sz w:val="24"/>
      <w:szCs w:val="24"/>
    </w:rPr>
  </w:style>
  <w:style w:type="paragraph" w:customStyle="1" w:styleId="TextTimesRom11">
    <w:name w:val="Text Times Rom 11"/>
    <w:basedOn w:val="Normal"/>
    <w:rsid w:val="00D7645E"/>
    <w:pPr>
      <w:ind w:left="1440"/>
    </w:pPr>
    <w:rPr>
      <w:bCs/>
      <w:sz w:val="22"/>
    </w:rPr>
  </w:style>
  <w:style w:type="paragraph" w:styleId="BalloonText">
    <w:name w:val="Balloon Text"/>
    <w:basedOn w:val="Normal"/>
    <w:link w:val="BalloonTextChar"/>
    <w:uiPriority w:val="99"/>
    <w:semiHidden/>
    <w:unhideWhenUsed/>
    <w:rsid w:val="00D7645E"/>
    <w:rPr>
      <w:rFonts w:ascii="Tahoma" w:hAnsi="Tahoma" w:cs="Tahoma"/>
      <w:sz w:val="16"/>
      <w:szCs w:val="16"/>
    </w:rPr>
  </w:style>
  <w:style w:type="character" w:customStyle="1" w:styleId="BalloonTextChar">
    <w:name w:val="Balloon Text Char"/>
    <w:basedOn w:val="DefaultParagraphFont"/>
    <w:link w:val="BalloonText"/>
    <w:uiPriority w:val="99"/>
    <w:semiHidden/>
    <w:rsid w:val="00D7645E"/>
    <w:rPr>
      <w:rFonts w:ascii="Tahoma" w:eastAsia="Times New Roman" w:hAnsi="Tahoma" w:cs="Tahoma"/>
      <w:sz w:val="16"/>
      <w:szCs w:val="16"/>
    </w:rPr>
  </w:style>
  <w:style w:type="character" w:styleId="PlaceholderText">
    <w:name w:val="Placeholder Text"/>
    <w:basedOn w:val="DefaultParagraphFont"/>
    <w:uiPriority w:val="99"/>
    <w:semiHidden/>
    <w:rsid w:val="003F5CA4"/>
    <w:rPr>
      <w:color w:val="808080"/>
    </w:rPr>
  </w:style>
  <w:style w:type="paragraph" w:styleId="FootnoteText">
    <w:name w:val="footnote text"/>
    <w:basedOn w:val="Normal"/>
    <w:link w:val="FootnoteTextChar"/>
    <w:uiPriority w:val="99"/>
    <w:unhideWhenUsed/>
    <w:rsid w:val="009D0836"/>
    <w:rPr>
      <w:sz w:val="20"/>
    </w:rPr>
  </w:style>
  <w:style w:type="character" w:customStyle="1" w:styleId="FootnoteTextChar">
    <w:name w:val="Footnote Text Char"/>
    <w:basedOn w:val="DefaultParagraphFont"/>
    <w:link w:val="FootnoteText"/>
    <w:uiPriority w:val="99"/>
    <w:rsid w:val="009D083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D0836"/>
    <w:rPr>
      <w:vertAlign w:val="superscript"/>
    </w:rPr>
  </w:style>
  <w:style w:type="character" w:styleId="FollowedHyperlink">
    <w:name w:val="FollowedHyperlink"/>
    <w:basedOn w:val="DefaultParagraphFont"/>
    <w:uiPriority w:val="99"/>
    <w:semiHidden/>
    <w:unhideWhenUsed/>
    <w:rsid w:val="00FB2D1E"/>
    <w:rPr>
      <w:color w:val="800080" w:themeColor="followedHyperlink"/>
      <w:u w:val="single"/>
    </w:rPr>
  </w:style>
  <w:style w:type="character" w:styleId="HTMLCite">
    <w:name w:val="HTML Cite"/>
    <w:basedOn w:val="DefaultParagraphFont"/>
    <w:uiPriority w:val="99"/>
    <w:semiHidden/>
    <w:unhideWhenUsed/>
    <w:rsid w:val="00A6404B"/>
    <w:rPr>
      <w:i/>
      <w:iCs/>
    </w:rPr>
  </w:style>
  <w:style w:type="table" w:styleId="TableGrid">
    <w:name w:val="Table Grid"/>
    <w:basedOn w:val="TableNormal"/>
    <w:uiPriority w:val="59"/>
    <w:rsid w:val="008B3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45E"/>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7645E"/>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D7645E"/>
    <w:pPr>
      <w:keepNext/>
      <w:keepLines/>
      <w:spacing w:before="200"/>
      <w:outlineLvl w:val="1"/>
    </w:pPr>
    <w:rPr>
      <w:rFonts w:ascii="Cambria"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45E"/>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D7645E"/>
    <w:rPr>
      <w:rFonts w:ascii="Cambria" w:eastAsia="Times New Roman" w:hAnsi="Cambria" w:cs="Times New Roman"/>
      <w:b/>
      <w:bCs/>
      <w:color w:val="4F81BD"/>
      <w:sz w:val="26"/>
      <w:szCs w:val="26"/>
      <w:lang w:val="x-none" w:eastAsia="x-none"/>
    </w:rPr>
  </w:style>
  <w:style w:type="paragraph" w:styleId="EndnoteText">
    <w:name w:val="endnote text"/>
    <w:basedOn w:val="Normal"/>
    <w:link w:val="EndnoteTextChar"/>
    <w:uiPriority w:val="99"/>
    <w:rsid w:val="00D7645E"/>
    <w:rPr>
      <w:rFonts w:eastAsia="Calibri"/>
      <w:sz w:val="20"/>
      <w:lang w:val="x-none" w:eastAsia="x-none"/>
    </w:rPr>
  </w:style>
  <w:style w:type="character" w:customStyle="1" w:styleId="EndnoteTextChar">
    <w:name w:val="Endnote Text Char"/>
    <w:basedOn w:val="DefaultParagraphFont"/>
    <w:link w:val="EndnoteText"/>
    <w:uiPriority w:val="99"/>
    <w:rsid w:val="00D7645E"/>
    <w:rPr>
      <w:rFonts w:ascii="Times New Roman" w:eastAsia="Calibri" w:hAnsi="Times New Roman" w:cs="Times New Roman"/>
      <w:sz w:val="20"/>
      <w:szCs w:val="20"/>
      <w:lang w:val="x-none" w:eastAsia="x-none"/>
    </w:rPr>
  </w:style>
  <w:style w:type="character" w:styleId="EndnoteReference">
    <w:name w:val="endnote reference"/>
    <w:uiPriority w:val="99"/>
    <w:rsid w:val="00D7645E"/>
    <w:rPr>
      <w:rFonts w:cs="Times New Roman"/>
      <w:vertAlign w:val="superscript"/>
    </w:rPr>
  </w:style>
  <w:style w:type="paragraph" w:styleId="ListParagraph">
    <w:name w:val="List Paragraph"/>
    <w:basedOn w:val="Normal"/>
    <w:uiPriority w:val="34"/>
    <w:qFormat/>
    <w:rsid w:val="00D7645E"/>
    <w:pPr>
      <w:spacing w:after="200" w:line="276" w:lineRule="auto"/>
      <w:ind w:left="720"/>
      <w:contextualSpacing/>
    </w:pPr>
    <w:rPr>
      <w:rFonts w:ascii="Calibri" w:hAnsi="Calibri"/>
    </w:rPr>
  </w:style>
  <w:style w:type="paragraph" w:styleId="Footer">
    <w:name w:val="footer"/>
    <w:basedOn w:val="Normal"/>
    <w:link w:val="FooterChar"/>
    <w:uiPriority w:val="99"/>
    <w:unhideWhenUsed/>
    <w:rsid w:val="00D7645E"/>
    <w:pPr>
      <w:tabs>
        <w:tab w:val="center" w:pos="4680"/>
        <w:tab w:val="right" w:pos="9360"/>
      </w:tabs>
    </w:pPr>
    <w:rPr>
      <w:lang w:val="x-none" w:eastAsia="x-none"/>
    </w:rPr>
  </w:style>
  <w:style w:type="character" w:customStyle="1" w:styleId="FooterChar">
    <w:name w:val="Footer Char"/>
    <w:basedOn w:val="DefaultParagraphFont"/>
    <w:link w:val="Footer"/>
    <w:uiPriority w:val="99"/>
    <w:rsid w:val="00D7645E"/>
    <w:rPr>
      <w:rFonts w:ascii="Times New Roman" w:eastAsia="Times New Roman" w:hAnsi="Times New Roman" w:cs="Times New Roman"/>
      <w:sz w:val="24"/>
      <w:szCs w:val="20"/>
      <w:lang w:val="x-none" w:eastAsia="x-none"/>
    </w:rPr>
  </w:style>
  <w:style w:type="character" w:styleId="Hyperlink">
    <w:name w:val="Hyperlink"/>
    <w:uiPriority w:val="99"/>
    <w:unhideWhenUsed/>
    <w:rsid w:val="00D7645E"/>
    <w:rPr>
      <w:color w:val="0000FF"/>
      <w:u w:val="single"/>
    </w:rPr>
  </w:style>
  <w:style w:type="paragraph" w:styleId="TOCHeading">
    <w:name w:val="TOC Heading"/>
    <w:basedOn w:val="Heading1"/>
    <w:next w:val="Normal"/>
    <w:uiPriority w:val="39"/>
    <w:unhideWhenUsed/>
    <w:qFormat/>
    <w:rsid w:val="00D7645E"/>
    <w:pPr>
      <w:spacing w:line="276" w:lineRule="auto"/>
      <w:outlineLvl w:val="9"/>
    </w:pPr>
  </w:style>
  <w:style w:type="paragraph" w:styleId="TOC1">
    <w:name w:val="toc 1"/>
    <w:basedOn w:val="Normal"/>
    <w:next w:val="Normal"/>
    <w:autoRedefine/>
    <w:uiPriority w:val="39"/>
    <w:unhideWhenUsed/>
    <w:qFormat/>
    <w:rsid w:val="00D7645E"/>
    <w:pPr>
      <w:spacing w:after="100"/>
    </w:pPr>
  </w:style>
  <w:style w:type="paragraph" w:styleId="TOC2">
    <w:name w:val="toc 2"/>
    <w:basedOn w:val="Normal"/>
    <w:next w:val="Normal"/>
    <w:autoRedefine/>
    <w:uiPriority w:val="39"/>
    <w:unhideWhenUsed/>
    <w:qFormat/>
    <w:rsid w:val="00D7645E"/>
    <w:pPr>
      <w:spacing w:after="100"/>
      <w:ind w:left="240"/>
    </w:pPr>
  </w:style>
  <w:style w:type="paragraph" w:customStyle="1" w:styleId="Default">
    <w:name w:val="Default"/>
    <w:rsid w:val="00D7645E"/>
    <w:pPr>
      <w:autoSpaceDE w:val="0"/>
      <w:autoSpaceDN w:val="0"/>
      <w:adjustRightInd w:val="0"/>
      <w:spacing w:after="0" w:line="240" w:lineRule="auto"/>
    </w:pPr>
    <w:rPr>
      <w:rFonts w:ascii="Arial" w:eastAsia="Calibri" w:hAnsi="Arial" w:cs="Arial"/>
      <w:color w:val="000000"/>
      <w:sz w:val="24"/>
      <w:szCs w:val="24"/>
    </w:rPr>
  </w:style>
  <w:style w:type="paragraph" w:customStyle="1" w:styleId="TextTimesRom11">
    <w:name w:val="Text Times Rom 11"/>
    <w:basedOn w:val="Normal"/>
    <w:rsid w:val="00D7645E"/>
    <w:pPr>
      <w:ind w:left="1440"/>
    </w:pPr>
    <w:rPr>
      <w:bCs/>
      <w:sz w:val="22"/>
    </w:rPr>
  </w:style>
  <w:style w:type="paragraph" w:styleId="BalloonText">
    <w:name w:val="Balloon Text"/>
    <w:basedOn w:val="Normal"/>
    <w:link w:val="BalloonTextChar"/>
    <w:uiPriority w:val="99"/>
    <w:semiHidden/>
    <w:unhideWhenUsed/>
    <w:rsid w:val="00D7645E"/>
    <w:rPr>
      <w:rFonts w:ascii="Tahoma" w:hAnsi="Tahoma" w:cs="Tahoma"/>
      <w:sz w:val="16"/>
      <w:szCs w:val="16"/>
    </w:rPr>
  </w:style>
  <w:style w:type="character" w:customStyle="1" w:styleId="BalloonTextChar">
    <w:name w:val="Balloon Text Char"/>
    <w:basedOn w:val="DefaultParagraphFont"/>
    <w:link w:val="BalloonText"/>
    <w:uiPriority w:val="99"/>
    <w:semiHidden/>
    <w:rsid w:val="00D7645E"/>
    <w:rPr>
      <w:rFonts w:ascii="Tahoma" w:eastAsia="Times New Roman" w:hAnsi="Tahoma" w:cs="Tahoma"/>
      <w:sz w:val="16"/>
      <w:szCs w:val="16"/>
    </w:rPr>
  </w:style>
  <w:style w:type="character" w:styleId="PlaceholderText">
    <w:name w:val="Placeholder Text"/>
    <w:basedOn w:val="DefaultParagraphFont"/>
    <w:uiPriority w:val="99"/>
    <w:semiHidden/>
    <w:rsid w:val="003F5CA4"/>
    <w:rPr>
      <w:color w:val="808080"/>
    </w:rPr>
  </w:style>
</w:styles>
</file>

<file path=word/webSettings.xml><?xml version="1.0" encoding="utf-8"?>
<w:webSettings xmlns:r="http://schemas.openxmlformats.org/officeDocument/2006/relationships" xmlns:w="http://schemas.openxmlformats.org/wordprocessingml/2006/main">
  <w:divs>
    <w:div w:id="171263270">
      <w:bodyDiv w:val="1"/>
      <w:marLeft w:val="0"/>
      <w:marRight w:val="0"/>
      <w:marTop w:val="0"/>
      <w:marBottom w:val="0"/>
      <w:divBdr>
        <w:top w:val="none" w:sz="0" w:space="0" w:color="auto"/>
        <w:left w:val="none" w:sz="0" w:space="0" w:color="auto"/>
        <w:bottom w:val="none" w:sz="0" w:space="0" w:color="auto"/>
        <w:right w:val="none" w:sz="0" w:space="0" w:color="auto"/>
      </w:divBdr>
    </w:div>
    <w:div w:id="256207871">
      <w:bodyDiv w:val="1"/>
      <w:marLeft w:val="0"/>
      <w:marRight w:val="0"/>
      <w:marTop w:val="0"/>
      <w:marBottom w:val="0"/>
      <w:divBdr>
        <w:top w:val="none" w:sz="0" w:space="0" w:color="auto"/>
        <w:left w:val="none" w:sz="0" w:space="0" w:color="auto"/>
        <w:bottom w:val="none" w:sz="0" w:space="0" w:color="auto"/>
        <w:right w:val="none" w:sz="0" w:space="0" w:color="auto"/>
      </w:divBdr>
    </w:div>
    <w:div w:id="339356272">
      <w:bodyDiv w:val="1"/>
      <w:marLeft w:val="0"/>
      <w:marRight w:val="0"/>
      <w:marTop w:val="0"/>
      <w:marBottom w:val="0"/>
      <w:divBdr>
        <w:top w:val="none" w:sz="0" w:space="0" w:color="auto"/>
        <w:left w:val="none" w:sz="0" w:space="0" w:color="auto"/>
        <w:bottom w:val="none" w:sz="0" w:space="0" w:color="auto"/>
        <w:right w:val="none" w:sz="0" w:space="0" w:color="auto"/>
      </w:divBdr>
    </w:div>
    <w:div w:id="522398761">
      <w:bodyDiv w:val="1"/>
      <w:marLeft w:val="0"/>
      <w:marRight w:val="0"/>
      <w:marTop w:val="0"/>
      <w:marBottom w:val="0"/>
      <w:divBdr>
        <w:top w:val="none" w:sz="0" w:space="0" w:color="auto"/>
        <w:left w:val="none" w:sz="0" w:space="0" w:color="auto"/>
        <w:bottom w:val="none" w:sz="0" w:space="0" w:color="auto"/>
        <w:right w:val="none" w:sz="0" w:space="0" w:color="auto"/>
      </w:divBdr>
    </w:div>
    <w:div w:id="839665343">
      <w:bodyDiv w:val="1"/>
      <w:marLeft w:val="0"/>
      <w:marRight w:val="0"/>
      <w:marTop w:val="0"/>
      <w:marBottom w:val="0"/>
      <w:divBdr>
        <w:top w:val="none" w:sz="0" w:space="0" w:color="auto"/>
        <w:left w:val="none" w:sz="0" w:space="0" w:color="auto"/>
        <w:bottom w:val="none" w:sz="0" w:space="0" w:color="auto"/>
        <w:right w:val="none" w:sz="0" w:space="0" w:color="auto"/>
      </w:divBdr>
    </w:div>
    <w:div w:id="974525302">
      <w:bodyDiv w:val="1"/>
      <w:marLeft w:val="0"/>
      <w:marRight w:val="0"/>
      <w:marTop w:val="0"/>
      <w:marBottom w:val="0"/>
      <w:divBdr>
        <w:top w:val="none" w:sz="0" w:space="0" w:color="auto"/>
        <w:left w:val="none" w:sz="0" w:space="0" w:color="auto"/>
        <w:bottom w:val="none" w:sz="0" w:space="0" w:color="auto"/>
        <w:right w:val="none" w:sz="0" w:space="0" w:color="auto"/>
      </w:divBdr>
      <w:divsChild>
        <w:div w:id="1659073789">
          <w:marLeft w:val="0"/>
          <w:marRight w:val="0"/>
          <w:marTop w:val="0"/>
          <w:marBottom w:val="0"/>
          <w:divBdr>
            <w:top w:val="none" w:sz="0" w:space="0" w:color="auto"/>
            <w:left w:val="none" w:sz="0" w:space="0" w:color="auto"/>
            <w:bottom w:val="none" w:sz="0" w:space="0" w:color="auto"/>
            <w:right w:val="none" w:sz="0" w:space="0" w:color="auto"/>
          </w:divBdr>
          <w:divsChild>
            <w:div w:id="2020618486">
              <w:marLeft w:val="0"/>
              <w:marRight w:val="0"/>
              <w:marTop w:val="0"/>
              <w:marBottom w:val="0"/>
              <w:divBdr>
                <w:top w:val="none" w:sz="0" w:space="0" w:color="auto"/>
                <w:left w:val="none" w:sz="0" w:space="0" w:color="auto"/>
                <w:bottom w:val="none" w:sz="0" w:space="0" w:color="auto"/>
                <w:right w:val="none" w:sz="0" w:space="0" w:color="auto"/>
              </w:divBdr>
              <w:divsChild>
                <w:div w:id="1716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4444">
      <w:bodyDiv w:val="1"/>
      <w:marLeft w:val="0"/>
      <w:marRight w:val="0"/>
      <w:marTop w:val="0"/>
      <w:marBottom w:val="0"/>
      <w:divBdr>
        <w:top w:val="none" w:sz="0" w:space="0" w:color="auto"/>
        <w:left w:val="none" w:sz="0" w:space="0" w:color="auto"/>
        <w:bottom w:val="none" w:sz="0" w:space="0" w:color="auto"/>
        <w:right w:val="none" w:sz="0" w:space="0" w:color="auto"/>
      </w:divBdr>
      <w:divsChild>
        <w:div w:id="387849317">
          <w:marLeft w:val="0"/>
          <w:marRight w:val="0"/>
          <w:marTop w:val="34"/>
          <w:marBottom w:val="34"/>
          <w:divBdr>
            <w:top w:val="none" w:sz="0" w:space="0" w:color="auto"/>
            <w:left w:val="none" w:sz="0" w:space="0" w:color="auto"/>
            <w:bottom w:val="none" w:sz="0" w:space="0" w:color="auto"/>
            <w:right w:val="none" w:sz="0" w:space="0" w:color="auto"/>
          </w:divBdr>
        </w:div>
        <w:div w:id="1725063266">
          <w:marLeft w:val="0"/>
          <w:marRight w:val="0"/>
          <w:marTop w:val="0"/>
          <w:marBottom w:val="0"/>
          <w:divBdr>
            <w:top w:val="none" w:sz="0" w:space="0" w:color="auto"/>
            <w:left w:val="none" w:sz="0" w:space="0" w:color="auto"/>
            <w:bottom w:val="none" w:sz="0" w:space="0" w:color="auto"/>
            <w:right w:val="none" w:sz="0" w:space="0" w:color="auto"/>
          </w:divBdr>
        </w:div>
      </w:divsChild>
    </w:div>
    <w:div w:id="1023363943">
      <w:bodyDiv w:val="1"/>
      <w:marLeft w:val="0"/>
      <w:marRight w:val="0"/>
      <w:marTop w:val="0"/>
      <w:marBottom w:val="0"/>
      <w:divBdr>
        <w:top w:val="none" w:sz="0" w:space="0" w:color="auto"/>
        <w:left w:val="none" w:sz="0" w:space="0" w:color="auto"/>
        <w:bottom w:val="none" w:sz="0" w:space="0" w:color="auto"/>
        <w:right w:val="none" w:sz="0" w:space="0" w:color="auto"/>
      </w:divBdr>
    </w:div>
    <w:div w:id="1189756490">
      <w:bodyDiv w:val="1"/>
      <w:marLeft w:val="0"/>
      <w:marRight w:val="0"/>
      <w:marTop w:val="0"/>
      <w:marBottom w:val="0"/>
      <w:divBdr>
        <w:top w:val="none" w:sz="0" w:space="0" w:color="auto"/>
        <w:left w:val="none" w:sz="0" w:space="0" w:color="auto"/>
        <w:bottom w:val="none" w:sz="0" w:space="0" w:color="auto"/>
        <w:right w:val="none" w:sz="0" w:space="0" w:color="auto"/>
      </w:divBdr>
    </w:div>
    <w:div w:id="1251741183">
      <w:bodyDiv w:val="1"/>
      <w:marLeft w:val="0"/>
      <w:marRight w:val="0"/>
      <w:marTop w:val="0"/>
      <w:marBottom w:val="0"/>
      <w:divBdr>
        <w:top w:val="none" w:sz="0" w:space="0" w:color="auto"/>
        <w:left w:val="none" w:sz="0" w:space="0" w:color="auto"/>
        <w:bottom w:val="none" w:sz="0" w:space="0" w:color="auto"/>
        <w:right w:val="none" w:sz="0" w:space="0" w:color="auto"/>
      </w:divBdr>
    </w:div>
    <w:div w:id="1440446662">
      <w:bodyDiv w:val="1"/>
      <w:marLeft w:val="0"/>
      <w:marRight w:val="0"/>
      <w:marTop w:val="0"/>
      <w:marBottom w:val="0"/>
      <w:divBdr>
        <w:top w:val="none" w:sz="0" w:space="0" w:color="auto"/>
        <w:left w:val="none" w:sz="0" w:space="0" w:color="auto"/>
        <w:bottom w:val="none" w:sz="0" w:space="0" w:color="auto"/>
        <w:right w:val="none" w:sz="0" w:space="0" w:color="auto"/>
      </w:divBdr>
    </w:div>
    <w:div w:id="1571310431">
      <w:bodyDiv w:val="1"/>
      <w:marLeft w:val="0"/>
      <w:marRight w:val="0"/>
      <w:marTop w:val="0"/>
      <w:marBottom w:val="0"/>
      <w:divBdr>
        <w:top w:val="none" w:sz="0" w:space="0" w:color="auto"/>
        <w:left w:val="none" w:sz="0" w:space="0" w:color="auto"/>
        <w:bottom w:val="none" w:sz="0" w:space="0" w:color="auto"/>
        <w:right w:val="none" w:sz="0" w:space="0" w:color="auto"/>
      </w:divBdr>
    </w:div>
    <w:div w:id="183055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onlinecourses.com/databases"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20.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hawasalemif\Documents\Papers\Medical%20foster%20home\figures%20on%20comparative%20effectiveness%20paper.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vhawasalemif\Documents\Papers\Medical%20foster%20home\figures%20on%20comparative%20effectiveness%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'Time in '!$D$4</c:f>
              <c:strCache>
                <c:ptCount val="1"/>
                <c:pt idx="0">
                  <c:v>BP</c:v>
                </c:pt>
              </c:strCache>
            </c:strRef>
          </c:tx>
          <c:spPr>
            <a:ln w="28575">
              <a:solidFill>
                <a:schemeClr val="accent1"/>
              </a:solidFill>
            </a:ln>
          </c:spPr>
          <c:marker>
            <c:symbol val="diamond"/>
            <c:size val="9"/>
          </c:marker>
          <c:xVal>
            <c:numRef>
              <c:f>'Time in '!$C$7:$C$12</c:f>
              <c:numCache>
                <c:formatCode>General</c:formatCode>
                <c:ptCount val="6"/>
                <c:pt idx="0">
                  <c:v>0</c:v>
                </c:pt>
                <c:pt idx="1">
                  <c:v>20</c:v>
                </c:pt>
                <c:pt idx="2">
                  <c:v>60</c:v>
                </c:pt>
                <c:pt idx="3">
                  <c:v>70</c:v>
                </c:pt>
                <c:pt idx="4">
                  <c:v>90</c:v>
                </c:pt>
                <c:pt idx="5">
                  <c:v>120</c:v>
                </c:pt>
              </c:numCache>
            </c:numRef>
          </c:xVal>
          <c:yVal>
            <c:numRef>
              <c:f>'Time in '!$D$7:$D$12</c:f>
              <c:numCache>
                <c:formatCode>General</c:formatCode>
                <c:ptCount val="6"/>
                <c:pt idx="0">
                  <c:v>125</c:v>
                </c:pt>
                <c:pt idx="1">
                  <c:v>150</c:v>
                </c:pt>
                <c:pt idx="2">
                  <c:v>130</c:v>
                </c:pt>
                <c:pt idx="3">
                  <c:v>110</c:v>
                </c:pt>
                <c:pt idx="4">
                  <c:v>130</c:v>
                </c:pt>
                <c:pt idx="5">
                  <c:v>135</c:v>
                </c:pt>
              </c:numCache>
            </c:numRef>
          </c:yVal>
        </c:ser>
        <c:ser>
          <c:idx val="1"/>
          <c:order val="1"/>
          <c:spPr>
            <a:ln w="28575">
              <a:solidFill>
                <a:srgbClr val="FF0000"/>
              </a:solidFill>
            </a:ln>
          </c:spPr>
          <c:marker>
            <c:symbol val="none"/>
          </c:marker>
          <c:xVal>
            <c:numRef>
              <c:f>'Time in '!$C$7:$C$12</c:f>
              <c:numCache>
                <c:formatCode>General</c:formatCode>
                <c:ptCount val="6"/>
                <c:pt idx="0">
                  <c:v>0</c:v>
                </c:pt>
                <c:pt idx="1">
                  <c:v>20</c:v>
                </c:pt>
                <c:pt idx="2">
                  <c:v>60</c:v>
                </c:pt>
                <c:pt idx="3">
                  <c:v>70</c:v>
                </c:pt>
                <c:pt idx="4">
                  <c:v>90</c:v>
                </c:pt>
                <c:pt idx="5">
                  <c:v>120</c:v>
                </c:pt>
              </c:numCache>
            </c:numRef>
          </c:xVal>
          <c:yVal>
            <c:numRef>
              <c:f>'Time in '!$E$7:$E$12</c:f>
              <c:numCache>
                <c:formatCode>General</c:formatCode>
                <c:ptCount val="6"/>
                <c:pt idx="0">
                  <c:v>120</c:v>
                </c:pt>
                <c:pt idx="1">
                  <c:v>120</c:v>
                </c:pt>
                <c:pt idx="2">
                  <c:v>120</c:v>
                </c:pt>
                <c:pt idx="3">
                  <c:v>120</c:v>
                </c:pt>
                <c:pt idx="4">
                  <c:v>120</c:v>
                </c:pt>
                <c:pt idx="5">
                  <c:v>120</c:v>
                </c:pt>
              </c:numCache>
            </c:numRef>
          </c:yVal>
        </c:ser>
        <c:ser>
          <c:idx val="2"/>
          <c:order val="2"/>
          <c:spPr>
            <a:ln w="28575">
              <a:solidFill>
                <a:srgbClr val="FF0000"/>
              </a:solidFill>
            </a:ln>
          </c:spPr>
          <c:marker>
            <c:symbol val="none"/>
          </c:marker>
          <c:xVal>
            <c:numRef>
              <c:f>'Time in '!$C$7:$C$12</c:f>
              <c:numCache>
                <c:formatCode>General</c:formatCode>
                <c:ptCount val="6"/>
                <c:pt idx="0">
                  <c:v>0</c:v>
                </c:pt>
                <c:pt idx="1">
                  <c:v>20</c:v>
                </c:pt>
                <c:pt idx="2">
                  <c:v>60</c:v>
                </c:pt>
                <c:pt idx="3">
                  <c:v>70</c:v>
                </c:pt>
                <c:pt idx="4">
                  <c:v>90</c:v>
                </c:pt>
                <c:pt idx="5">
                  <c:v>120</c:v>
                </c:pt>
              </c:numCache>
            </c:numRef>
          </c:xVal>
          <c:yVal>
            <c:numRef>
              <c:f>'Time in '!$F$7:$F$12</c:f>
              <c:numCache>
                <c:formatCode>General</c:formatCode>
                <c:ptCount val="6"/>
                <c:pt idx="0">
                  <c:v>140</c:v>
                </c:pt>
                <c:pt idx="1">
                  <c:v>140</c:v>
                </c:pt>
                <c:pt idx="2">
                  <c:v>140</c:v>
                </c:pt>
                <c:pt idx="3">
                  <c:v>140</c:v>
                </c:pt>
                <c:pt idx="4">
                  <c:v>140</c:v>
                </c:pt>
                <c:pt idx="5">
                  <c:v>140</c:v>
                </c:pt>
              </c:numCache>
            </c:numRef>
          </c:yVal>
        </c:ser>
        <c:axId val="144874496"/>
        <c:axId val="144897152"/>
      </c:scatterChart>
      <c:valAx>
        <c:axId val="144874496"/>
        <c:scaling>
          <c:orientation val="minMax"/>
        </c:scaling>
        <c:axPos val="b"/>
        <c:title>
          <c:tx>
            <c:rich>
              <a:bodyPr/>
              <a:lstStyle/>
              <a:p>
                <a:pPr>
                  <a:defRPr/>
                </a:pPr>
                <a:r>
                  <a:rPr lang="en-US"/>
                  <a:t>Days Since Enrollment</a:t>
                </a:r>
              </a:p>
            </c:rich>
          </c:tx>
        </c:title>
        <c:numFmt formatCode="General" sourceLinked="1"/>
        <c:tickLblPos val="nextTo"/>
        <c:crossAx val="144897152"/>
        <c:crosses val="autoZero"/>
        <c:crossBetween val="midCat"/>
      </c:valAx>
      <c:valAx>
        <c:axId val="144897152"/>
        <c:scaling>
          <c:orientation val="minMax"/>
          <c:min val="100"/>
        </c:scaling>
        <c:axPos val="l"/>
        <c:majorGridlines/>
        <c:title>
          <c:tx>
            <c:rich>
              <a:bodyPr rot="-5400000" vert="horz"/>
              <a:lstStyle/>
              <a:p>
                <a:pPr>
                  <a:defRPr/>
                </a:pPr>
                <a:r>
                  <a:rPr lang="en-US"/>
                  <a:t>Systolic Blood Pressure</a:t>
                </a:r>
              </a:p>
            </c:rich>
          </c:tx>
        </c:title>
        <c:numFmt formatCode="General" sourceLinked="1"/>
        <c:tickLblPos val="nextTo"/>
        <c:crossAx val="144874496"/>
        <c:crosses val="autoZero"/>
        <c:crossBetween val="midCat"/>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lineChart>
        <c:grouping val="standard"/>
        <c:ser>
          <c:idx val="0"/>
          <c:order val="0"/>
          <c:tx>
            <c:strRef>
              <c:f>Sheet1!$H$23</c:f>
              <c:strCache>
                <c:ptCount val="1"/>
                <c:pt idx="0">
                  <c:v>Cases</c:v>
                </c:pt>
              </c:strCache>
            </c:strRef>
          </c:tx>
          <c:cat>
            <c:strRef>
              <c:f>Sheet1!$I$22:$J$22</c:f>
              <c:strCache>
                <c:ptCount val="2"/>
                <c:pt idx="0">
                  <c:v>Before</c:v>
                </c:pt>
                <c:pt idx="1">
                  <c:v>After</c:v>
                </c:pt>
              </c:strCache>
            </c:strRef>
          </c:cat>
          <c:val>
            <c:numRef>
              <c:f>Sheet1!$I$23:$J$23</c:f>
              <c:numCache>
                <c:formatCode>0%</c:formatCode>
                <c:ptCount val="2"/>
                <c:pt idx="0">
                  <c:v>0.5</c:v>
                </c:pt>
                <c:pt idx="1">
                  <c:v>0</c:v>
                </c:pt>
              </c:numCache>
            </c:numRef>
          </c:val>
        </c:ser>
        <c:ser>
          <c:idx val="1"/>
          <c:order val="1"/>
          <c:tx>
            <c:strRef>
              <c:f>Sheet1!$H$24</c:f>
              <c:strCache>
                <c:ptCount val="1"/>
                <c:pt idx="0">
                  <c:v>Controls</c:v>
                </c:pt>
              </c:strCache>
            </c:strRef>
          </c:tx>
          <c:cat>
            <c:strRef>
              <c:f>Sheet1!$I$22:$J$22</c:f>
              <c:strCache>
                <c:ptCount val="2"/>
                <c:pt idx="0">
                  <c:v>Before</c:v>
                </c:pt>
                <c:pt idx="1">
                  <c:v>After</c:v>
                </c:pt>
              </c:strCache>
            </c:strRef>
          </c:cat>
          <c:val>
            <c:numRef>
              <c:f>Sheet1!$I$24:$J$24</c:f>
              <c:numCache>
                <c:formatCode>0%</c:formatCode>
                <c:ptCount val="2"/>
                <c:pt idx="0">
                  <c:v>0.5</c:v>
                </c:pt>
                <c:pt idx="1">
                  <c:v>0.25</c:v>
                </c:pt>
              </c:numCache>
            </c:numRef>
          </c:val>
        </c:ser>
        <c:marker val="1"/>
        <c:axId val="145275520"/>
        <c:axId val="145405440"/>
      </c:lineChart>
      <c:catAx>
        <c:axId val="145275520"/>
        <c:scaling>
          <c:orientation val="minMax"/>
        </c:scaling>
        <c:axPos val="b"/>
        <c:tickLblPos val="nextTo"/>
        <c:crossAx val="145405440"/>
        <c:crosses val="autoZero"/>
        <c:auto val="1"/>
        <c:lblAlgn val="ctr"/>
        <c:lblOffset val="100"/>
      </c:catAx>
      <c:valAx>
        <c:axId val="145405440"/>
        <c:scaling>
          <c:orientation val="minMax"/>
        </c:scaling>
        <c:axPos val="l"/>
        <c:majorGridlines/>
        <c:title>
          <c:tx>
            <c:rich>
              <a:bodyPr rot="-5400000" vert="horz"/>
              <a:lstStyle/>
              <a:p>
                <a:pPr>
                  <a:defRPr/>
                </a:pPr>
                <a:r>
                  <a:rPr lang="en-US"/>
                  <a:t>Percent FaPatients with Falls</a:t>
                </a:r>
              </a:p>
            </c:rich>
          </c:tx>
        </c:title>
        <c:numFmt formatCode="0%" sourceLinked="1"/>
        <c:tickLblPos val="nextTo"/>
        <c:crossAx val="145275520"/>
        <c:crosses val="autoZero"/>
        <c:crossBetween val="between"/>
      </c:valAx>
    </c:plotArea>
    <c:legend>
      <c:legendPos val="r"/>
    </c:legend>
    <c:plotVisOnly val="1"/>
    <c:dispBlanksAs val="gap"/>
  </c:chart>
  <c:txPr>
    <a:bodyPr/>
    <a:lstStyle/>
    <a:p>
      <a:pPr>
        <a:defRPr sz="1200" b="1"/>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Sheet3!$Q$4</c:f>
              <c:strCache>
                <c:ptCount val="1"/>
                <c:pt idx="0">
                  <c:v>Control</c:v>
                </c:pt>
              </c:strCache>
            </c:strRef>
          </c:tx>
          <c:val>
            <c:numRef>
              <c:f>Sheet3!$Q$5:$Q$7</c:f>
              <c:numCache>
                <c:formatCode>0%</c:formatCode>
                <c:ptCount val="3"/>
                <c:pt idx="0">
                  <c:v>1</c:v>
                </c:pt>
                <c:pt idx="1">
                  <c:v>0.66666666666666663</c:v>
                </c:pt>
                <c:pt idx="2">
                  <c:v>0.66666666666666663</c:v>
                </c:pt>
              </c:numCache>
            </c:numRef>
          </c:val>
        </c:ser>
        <c:ser>
          <c:idx val="1"/>
          <c:order val="1"/>
          <c:tx>
            <c:strRef>
              <c:f>Sheet3!$R$4</c:f>
              <c:strCache>
                <c:ptCount val="1"/>
                <c:pt idx="0">
                  <c:v>Case</c:v>
                </c:pt>
              </c:strCache>
            </c:strRef>
          </c:tx>
          <c:spPr>
            <a:ln w="38100"/>
          </c:spPr>
          <c:val>
            <c:numRef>
              <c:f>Sheet3!$R$5:$R$7</c:f>
              <c:numCache>
                <c:formatCode>0%</c:formatCode>
                <c:ptCount val="3"/>
                <c:pt idx="0">
                  <c:v>1</c:v>
                </c:pt>
                <c:pt idx="1">
                  <c:v>1</c:v>
                </c:pt>
                <c:pt idx="2">
                  <c:v>0.5</c:v>
                </c:pt>
              </c:numCache>
            </c:numRef>
          </c:val>
        </c:ser>
        <c:marker val="1"/>
        <c:axId val="145050240"/>
        <c:axId val="145064704"/>
      </c:lineChart>
      <c:catAx>
        <c:axId val="145050240"/>
        <c:scaling>
          <c:orientation val="minMax"/>
        </c:scaling>
        <c:axPos val="b"/>
        <c:title>
          <c:tx>
            <c:rich>
              <a:bodyPr/>
              <a:lstStyle/>
              <a:p>
                <a:pPr>
                  <a:defRPr/>
                </a:pPr>
                <a:r>
                  <a:rPr lang="en-US"/>
                  <a:t>Months Since Enrollment</a:t>
                </a:r>
              </a:p>
            </c:rich>
          </c:tx>
        </c:title>
        <c:tickLblPos val="nextTo"/>
        <c:crossAx val="145064704"/>
        <c:crosses val="autoZero"/>
        <c:auto val="1"/>
        <c:lblAlgn val="ctr"/>
        <c:lblOffset val="100"/>
      </c:catAx>
      <c:valAx>
        <c:axId val="145064704"/>
        <c:scaling>
          <c:orientation val="minMax"/>
          <c:max val="1"/>
          <c:min val="0.5"/>
        </c:scaling>
        <c:axPos val="l"/>
        <c:majorGridlines/>
        <c:title>
          <c:tx>
            <c:rich>
              <a:bodyPr rot="-5400000" vert="horz"/>
              <a:lstStyle/>
              <a:p>
                <a:pPr>
                  <a:defRPr/>
                </a:pPr>
                <a:r>
                  <a:rPr lang="en-US"/>
                  <a:t>Percent With No Falls</a:t>
                </a:r>
              </a:p>
            </c:rich>
          </c:tx>
        </c:title>
        <c:numFmt formatCode="0%" sourceLinked="1"/>
        <c:tickLblPos val="nextTo"/>
        <c:crossAx val="145050240"/>
        <c:crosses val="autoZero"/>
        <c:crossBetween val="between"/>
        <c:majorUnit val="0.1"/>
      </c:valAx>
    </c:plotArea>
    <c:legend>
      <c:legendPos val="r"/>
    </c:legend>
    <c:plotVisOnly val="1"/>
    <c:dispBlanksAs val="gap"/>
  </c:chart>
  <c:txPr>
    <a:bodyPr/>
    <a:lstStyle/>
    <a:p>
      <a:pPr>
        <a:defRPr b="1"/>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0.25042</cdr:x>
      <cdr:y>0.70139</cdr:y>
    </cdr:from>
    <cdr:to>
      <cdr:x>0.42764</cdr:x>
      <cdr:y>0.76389</cdr:y>
    </cdr:to>
    <cdr:sp macro="" textlink="">
      <cdr:nvSpPr>
        <cdr:cNvPr id="27" name="Rectangle 26"/>
        <cdr:cNvSpPr/>
      </cdr:nvSpPr>
      <cdr:spPr>
        <a:xfrm xmlns:a="http://schemas.openxmlformats.org/drawingml/2006/main" flipV="1">
          <a:off x="1144912" y="1924049"/>
          <a:ext cx="810262" cy="1714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b="1">
            <a:solidFill>
              <a:schemeClr val="tx2"/>
            </a:solidFill>
          </a:endParaRPr>
        </a:p>
      </cdr:txBody>
    </cdr:sp>
  </cdr:relSizeAnchor>
  <cdr:relSizeAnchor xmlns:cdr="http://schemas.openxmlformats.org/drawingml/2006/chartDrawing">
    <cdr:from>
      <cdr:x>0.12114</cdr:x>
      <cdr:y>0.04861</cdr:y>
    </cdr:from>
    <cdr:to>
      <cdr:x>0.19478</cdr:x>
      <cdr:y>0.19444</cdr:y>
    </cdr:to>
    <cdr:grpSp>
      <cdr:nvGrpSpPr>
        <cdr:cNvPr id="18" name="Group 17"/>
        <cdr:cNvGrpSpPr/>
      </cdr:nvGrpSpPr>
      <cdr:grpSpPr>
        <a:xfrm xmlns:a="http://schemas.openxmlformats.org/drawingml/2006/main">
          <a:off x="663469" y="133347"/>
          <a:ext cx="403317" cy="400041"/>
          <a:chOff x="657223" y="19050"/>
          <a:chExt cx="476249" cy="400050"/>
        </a:xfrm>
      </cdr:grpSpPr>
      <cdr:sp macro="" textlink="">
        <cdr:nvSpPr>
          <cdr:cNvPr id="16" name="Right Brace 15"/>
          <cdr:cNvSpPr/>
        </cdr:nvSpPr>
        <cdr:spPr>
          <a:xfrm xmlns:a="http://schemas.openxmlformats.org/drawingml/2006/main" rot="5400000" flipH="1">
            <a:off x="795335" y="80962"/>
            <a:ext cx="200026" cy="476249"/>
          </a:xfrm>
          <a:prstGeom xmlns:a="http://schemas.openxmlformats.org/drawingml/2006/main" prst="rightBrace">
            <a:avLst>
              <a:gd name="adj1" fmla="val 10507"/>
              <a:gd name="adj2" fmla="val 50000"/>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sz="1000" b="1"/>
          </a:p>
        </cdr:txBody>
      </cdr:sp>
      <cdr:sp macro="" textlink="">
        <cdr:nvSpPr>
          <cdr:cNvPr id="17" name="Rectangle 16"/>
          <cdr:cNvSpPr/>
        </cdr:nvSpPr>
        <cdr:spPr>
          <a:xfrm xmlns:a="http://schemas.openxmlformats.org/drawingml/2006/main">
            <a:off x="676276" y="19050"/>
            <a:ext cx="419100"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2"/>
                </a:solidFill>
              </a:rPr>
              <a:t>In</a:t>
            </a:r>
          </a:p>
        </cdr:txBody>
      </cdr:sp>
    </cdr:grpSp>
  </cdr:relSizeAnchor>
  <cdr:relSizeAnchor xmlns:cdr="http://schemas.openxmlformats.org/drawingml/2006/chartDrawing">
    <cdr:from>
      <cdr:x>0.35745</cdr:x>
      <cdr:y>0.04861</cdr:y>
    </cdr:from>
    <cdr:to>
      <cdr:x>0.50087</cdr:x>
      <cdr:y>0.19444</cdr:y>
    </cdr:to>
    <cdr:grpSp>
      <cdr:nvGrpSpPr>
        <cdr:cNvPr id="19" name="Group 18"/>
        <cdr:cNvGrpSpPr/>
      </cdr:nvGrpSpPr>
      <cdr:grpSpPr>
        <a:xfrm xmlns:a="http://schemas.openxmlformats.org/drawingml/2006/main">
          <a:off x="1957709" y="133347"/>
          <a:ext cx="785494" cy="400041"/>
          <a:chOff x="0" y="0"/>
          <a:chExt cx="476249" cy="400050"/>
        </a:xfrm>
      </cdr:grpSpPr>
      <cdr:sp macro="" textlink="">
        <cdr:nvSpPr>
          <cdr:cNvPr id="20" name="Right Brace 19"/>
          <cdr:cNvSpPr/>
        </cdr:nvSpPr>
        <cdr:spPr>
          <a:xfrm xmlns:a="http://schemas.openxmlformats.org/drawingml/2006/main" rot="5400000" flipH="1">
            <a:off x="138112" y="61912"/>
            <a:ext cx="200026" cy="476249"/>
          </a:xfrm>
          <a:prstGeom xmlns:a="http://schemas.openxmlformats.org/drawingml/2006/main" prst="rightBrace">
            <a:avLst>
              <a:gd name="adj1" fmla="val 10507"/>
              <a:gd name="adj2" fmla="val 50000"/>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sz="1000" b="1"/>
          </a:p>
        </cdr:txBody>
      </cdr:sp>
      <cdr:sp macro="" textlink="">
        <cdr:nvSpPr>
          <cdr:cNvPr id="21" name="Rectangle 20"/>
          <cdr:cNvSpPr/>
        </cdr:nvSpPr>
        <cdr:spPr>
          <a:xfrm xmlns:a="http://schemas.openxmlformats.org/drawingml/2006/main">
            <a:off x="19053" y="0"/>
            <a:ext cx="419100"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chemeClr val="tx2"/>
                </a:solidFill>
              </a:rPr>
              <a:t>In</a:t>
            </a:r>
          </a:p>
        </cdr:txBody>
      </cdr:sp>
    </cdr:grpSp>
  </cdr:relSizeAnchor>
  <cdr:relSizeAnchor xmlns:cdr="http://schemas.openxmlformats.org/drawingml/2006/chartDrawing">
    <cdr:from>
      <cdr:x>0.59304</cdr:x>
      <cdr:y>0.02778</cdr:y>
    </cdr:from>
    <cdr:to>
      <cdr:x>0.84167</cdr:x>
      <cdr:y>0.17361</cdr:y>
    </cdr:to>
    <cdr:grpSp>
      <cdr:nvGrpSpPr>
        <cdr:cNvPr id="22" name="Group 21"/>
        <cdr:cNvGrpSpPr/>
      </cdr:nvGrpSpPr>
      <cdr:grpSpPr>
        <a:xfrm xmlns:a="http://schemas.openxmlformats.org/drawingml/2006/main">
          <a:off x="3248007" y="76206"/>
          <a:ext cx="1361715" cy="400041"/>
          <a:chOff x="0" y="0"/>
          <a:chExt cx="476249" cy="400050"/>
        </a:xfrm>
      </cdr:grpSpPr>
      <cdr:sp macro="" textlink="">
        <cdr:nvSpPr>
          <cdr:cNvPr id="23" name="Right Brace 22"/>
          <cdr:cNvSpPr/>
        </cdr:nvSpPr>
        <cdr:spPr>
          <a:xfrm xmlns:a="http://schemas.openxmlformats.org/drawingml/2006/main" rot="5400000" flipH="1">
            <a:off x="138112" y="61912"/>
            <a:ext cx="200026" cy="476249"/>
          </a:xfrm>
          <a:prstGeom xmlns:a="http://schemas.openxmlformats.org/drawingml/2006/main" prst="rightBrace">
            <a:avLst>
              <a:gd name="adj1" fmla="val 10507"/>
              <a:gd name="adj2" fmla="val 50000"/>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sz="1000" b="1"/>
          </a:p>
        </cdr:txBody>
      </cdr:sp>
      <cdr:sp macro="" textlink="">
        <cdr:nvSpPr>
          <cdr:cNvPr id="24" name="Rectangle 23"/>
          <cdr:cNvSpPr/>
        </cdr:nvSpPr>
        <cdr:spPr>
          <a:xfrm xmlns:a="http://schemas.openxmlformats.org/drawingml/2006/main">
            <a:off x="19053" y="0"/>
            <a:ext cx="419100"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chemeClr val="tx2"/>
                </a:solidFill>
              </a:rPr>
              <a:t>In</a:t>
            </a:r>
          </a:p>
        </cdr:txBody>
      </cdr:sp>
    </cdr:grpSp>
  </cdr:relSizeAnchor>
  <cdr:relSizeAnchor xmlns:cdr="http://schemas.openxmlformats.org/drawingml/2006/chartDrawing">
    <cdr:from>
      <cdr:x>0.18783</cdr:x>
      <cdr:y>0.67709</cdr:y>
    </cdr:from>
    <cdr:to>
      <cdr:x>0.36174</cdr:x>
      <cdr:y>0.82639</cdr:y>
    </cdr:to>
    <cdr:grpSp>
      <cdr:nvGrpSpPr>
        <cdr:cNvPr id="32" name="Group 31"/>
        <cdr:cNvGrpSpPr/>
      </cdr:nvGrpSpPr>
      <cdr:grpSpPr>
        <a:xfrm xmlns:a="http://schemas.openxmlformats.org/drawingml/2006/main">
          <a:off x="1028722" y="1857393"/>
          <a:ext cx="952483" cy="409560"/>
          <a:chOff x="1165226" y="1847855"/>
          <a:chExt cx="920750" cy="409571"/>
        </a:xfrm>
      </cdr:grpSpPr>
      <cdr:sp macro="" textlink="">
        <cdr:nvSpPr>
          <cdr:cNvPr id="26" name="Right Brace 25"/>
          <cdr:cNvSpPr/>
        </cdr:nvSpPr>
        <cdr:spPr>
          <a:xfrm xmlns:a="http://schemas.openxmlformats.org/drawingml/2006/main" rot="16200000" flipH="1" flipV="1">
            <a:off x="1501777" y="1511304"/>
            <a:ext cx="247647" cy="920750"/>
          </a:xfrm>
          <a:prstGeom xmlns:a="http://schemas.openxmlformats.org/drawingml/2006/main" prst="rightBrace">
            <a:avLst>
              <a:gd name="adj1" fmla="val 10507"/>
              <a:gd name="adj2" fmla="val 53103"/>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sz="1000" b="1"/>
          </a:p>
        </cdr:txBody>
      </cdr:sp>
      <cdr:sp macro="" textlink="">
        <cdr:nvSpPr>
          <cdr:cNvPr id="29" name="Rectangle 28"/>
          <cdr:cNvSpPr/>
        </cdr:nvSpPr>
        <cdr:spPr>
          <a:xfrm xmlns:a="http://schemas.openxmlformats.org/drawingml/2006/main">
            <a:off x="1381125" y="2047876"/>
            <a:ext cx="438150"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chemeClr val="tx2"/>
                </a:solidFill>
              </a:rPr>
              <a:t>Out</a:t>
            </a:r>
          </a:p>
        </cdr:txBody>
      </cdr:sp>
    </cdr:grpSp>
  </cdr:relSizeAnchor>
  <cdr:relSizeAnchor xmlns:cdr="http://schemas.openxmlformats.org/drawingml/2006/chartDrawing">
    <cdr:from>
      <cdr:x>0.49739</cdr:x>
      <cdr:y>0.70486</cdr:y>
    </cdr:from>
    <cdr:to>
      <cdr:x>0.60696</cdr:x>
      <cdr:y>0.86111</cdr:y>
    </cdr:to>
    <cdr:grpSp>
      <cdr:nvGrpSpPr>
        <cdr:cNvPr id="33" name="Group 32"/>
        <cdr:cNvGrpSpPr/>
      </cdr:nvGrpSpPr>
      <cdr:grpSpPr>
        <a:xfrm xmlns:a="http://schemas.openxmlformats.org/drawingml/2006/main">
          <a:off x="2724143" y="1933572"/>
          <a:ext cx="600102" cy="428625"/>
          <a:chOff x="2981614" y="1914528"/>
          <a:chExt cx="685481" cy="428622"/>
        </a:xfrm>
      </cdr:grpSpPr>
      <cdr:sp macro="" textlink="">
        <cdr:nvSpPr>
          <cdr:cNvPr id="30" name="Right Brace 29"/>
          <cdr:cNvSpPr/>
        </cdr:nvSpPr>
        <cdr:spPr>
          <a:xfrm xmlns:a="http://schemas.openxmlformats.org/drawingml/2006/main" rot="16200000" flipH="1" flipV="1">
            <a:off x="3224215" y="1741488"/>
            <a:ext cx="203195" cy="549275"/>
          </a:xfrm>
          <a:prstGeom xmlns:a="http://schemas.openxmlformats.org/drawingml/2006/main" prst="rightBrace">
            <a:avLst>
              <a:gd name="adj1" fmla="val 10507"/>
              <a:gd name="adj2" fmla="val 53103"/>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sz="1000" b="1"/>
          </a:p>
        </cdr:txBody>
      </cdr:sp>
      <cdr:sp macro="" textlink="">
        <cdr:nvSpPr>
          <cdr:cNvPr id="31" name="Rectangle 30"/>
          <cdr:cNvSpPr/>
        </cdr:nvSpPr>
        <cdr:spPr>
          <a:xfrm xmlns:a="http://schemas.openxmlformats.org/drawingml/2006/main">
            <a:off x="2981614" y="2070096"/>
            <a:ext cx="685481" cy="2730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chemeClr val="tx2"/>
                </a:solidFill>
              </a:rPr>
              <a:t>Out</a:t>
            </a:r>
          </a:p>
        </cdr:txBody>
      </cdr:sp>
    </cdr:grpSp>
  </cdr:relSizeAnchor>
  <cdr:relSizeAnchor xmlns:cdr="http://schemas.openxmlformats.org/drawingml/2006/chartDrawing">
    <cdr:from>
      <cdr:x>0.59304</cdr:x>
      <cdr:y>0.1875</cdr:y>
    </cdr:from>
    <cdr:to>
      <cdr:x>0.59478</cdr:x>
      <cdr:y>0.71528</cdr:y>
    </cdr:to>
    <cdr:cxnSp macro="">
      <cdr:nvCxnSpPr>
        <cdr:cNvPr id="37" name="Straight Connector 36"/>
        <cdr:cNvCxnSpPr/>
      </cdr:nvCxnSpPr>
      <cdr:spPr>
        <a:xfrm xmlns:a="http://schemas.openxmlformats.org/drawingml/2006/main" flipH="1">
          <a:off x="3248026" y="514350"/>
          <a:ext cx="9525" cy="14478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0.50493</cdr:x>
      <cdr:y>0.19907</cdr:y>
    </cdr:from>
    <cdr:to>
      <cdr:x>0.50667</cdr:x>
      <cdr:y>0.72685</cdr:y>
    </cdr:to>
    <cdr:cxnSp macro="">
      <cdr:nvCxnSpPr>
        <cdr:cNvPr id="38" name="Straight Connector 37"/>
        <cdr:cNvCxnSpPr/>
      </cdr:nvCxnSpPr>
      <cdr:spPr>
        <a:xfrm xmlns:a="http://schemas.openxmlformats.org/drawingml/2006/main" flipH="1">
          <a:off x="2765425" y="546100"/>
          <a:ext cx="9525" cy="14478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0.35884</cdr:x>
      <cdr:y>0.20255</cdr:y>
    </cdr:from>
    <cdr:to>
      <cdr:x>0.36058</cdr:x>
      <cdr:y>0.73032</cdr:y>
    </cdr:to>
    <cdr:cxnSp macro="">
      <cdr:nvCxnSpPr>
        <cdr:cNvPr id="39" name="Straight Connector 38"/>
        <cdr:cNvCxnSpPr/>
      </cdr:nvCxnSpPr>
      <cdr:spPr>
        <a:xfrm xmlns:a="http://schemas.openxmlformats.org/drawingml/2006/main" flipH="1">
          <a:off x="1965325" y="555625"/>
          <a:ext cx="9525" cy="14478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0.18841</cdr:x>
      <cdr:y>0.16782</cdr:y>
    </cdr:from>
    <cdr:to>
      <cdr:x>0.19014</cdr:x>
      <cdr:y>0.6956</cdr:y>
    </cdr:to>
    <cdr:cxnSp macro="">
      <cdr:nvCxnSpPr>
        <cdr:cNvPr id="40" name="Straight Connector 39"/>
        <cdr:cNvCxnSpPr/>
      </cdr:nvCxnSpPr>
      <cdr:spPr>
        <a:xfrm xmlns:a="http://schemas.openxmlformats.org/drawingml/2006/main" flipH="1">
          <a:off x="1031875" y="460375"/>
          <a:ext cx="9525" cy="14478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2647E-63F8-406A-B82C-C566B7A7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6670</Words>
  <Characters>38024</Characters>
  <Application>Microsoft Office Word</Application>
  <DocSecurity>0</DocSecurity>
  <Lines>316</Lines>
  <Paragraphs>89</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Summary</vt:lpstr>
      <vt:lpstr>Background</vt:lpstr>
      <vt:lpstr>Source of data</vt:lpstr>
      <vt:lpstr>Study Design and Methods </vt:lpstr>
      <vt:lpstr>    Definition of Cases and Controls</vt:lpstr>
      <vt:lpstr>    Measurement of Exposure to Treatment</vt:lpstr>
      <vt:lpstr>    Enrollment and Observation Period</vt:lpstr>
      <vt:lpstr>    Matching Criteria</vt:lpstr>
      <vt:lpstr>    Measurement of Outcomes</vt:lpstr>
      <vt:lpstr>    Verification of Matching</vt:lpstr>
      <vt:lpstr>    Analysis of Outcomes</vt:lpstr>
      <vt:lpstr>    Analysis of Time to Event</vt:lpstr>
      <vt:lpstr>    Measurement of Severity</vt:lpstr>
      <vt:lpstr>    Propensity Scoring</vt:lpstr>
      <vt:lpstr>Discussion</vt:lpstr>
      <vt:lpstr>Problem Sets</vt:lpstr>
      <vt:lpstr>Problem Solutions</vt:lpstr>
      <vt:lpstr/>
      <vt:lpstr/>
      <vt:lpstr/>
      <vt:lpstr/>
      <vt:lpstr/>
      <vt:lpstr/>
      <vt:lpstr>References</vt:lpstr>
    </vt:vector>
  </TitlesOfParts>
  <Company>Dept. of Veterans Affairs</Company>
  <LinksUpToDate>false</LinksUpToDate>
  <CharactersWithSpaces>44605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Alemi, Farrokh</dc:creator>
  <cp:lastModifiedBy>Farrokh</cp:lastModifiedBy>
  <cp:revision>2</cp:revision>
  <cp:lastPrinted>2013-08-19T00:53:00Z</cp:lastPrinted>
  <dcterms:created xsi:type="dcterms:W3CDTF">2014-01-03T16:23:00Z</dcterms:created>
  <dcterms:modified xsi:type="dcterms:W3CDTF">2014-01-03T16:23:00Z</dcterms:modified>
</cp:coreProperties>
</file>